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00" w:beforeLines="0" w:beforeAutospacing="1"/>
        <w:rPr>
          <w:rFonts w:hint="default" w:ascii="ＭＳ 明朝" w:hAnsi="ＭＳ 明朝"/>
        </w:rPr>
      </w:pPr>
      <w:r>
        <w:rPr>
          <w:rFonts w:hint="eastAsia" w:ascii="ＭＳ 明朝" w:hAnsi="ＭＳ 明朝"/>
        </w:rPr>
        <w:t>様式第</w:t>
      </w:r>
      <w:r>
        <w:rPr>
          <w:rFonts w:hint="eastAsia" w:ascii="ＭＳ 明朝" w:hAnsi="ＭＳ 明朝"/>
        </w:rPr>
        <w:t>5</w:t>
      </w:r>
      <w:r>
        <w:rPr>
          <w:rFonts w:hint="eastAsia" w:ascii="ＭＳ 明朝" w:hAnsi="ＭＳ 明朝"/>
        </w:rPr>
        <w:t>号</w:t>
      </w:r>
      <w:r>
        <w:rPr>
          <w:rFonts w:hint="eastAsia" w:ascii="ＭＳ 明朝" w:hAnsi="ＭＳ 明朝"/>
        </w:rPr>
        <w:t>(</w:t>
      </w:r>
      <w:r>
        <w:rPr>
          <w:rFonts w:hint="eastAsia" w:ascii="ＭＳ 明朝" w:hAnsi="ＭＳ 明朝"/>
        </w:rPr>
        <w:t>第</w:t>
      </w:r>
      <w:r>
        <w:rPr>
          <w:rFonts w:hint="eastAsia" w:ascii="ＭＳ 明朝" w:hAnsi="ＭＳ 明朝"/>
        </w:rPr>
        <w:t>8</w:t>
      </w:r>
      <w:r>
        <w:rPr>
          <w:rFonts w:hint="eastAsia" w:ascii="ＭＳ 明朝" w:hAnsi="ＭＳ 明朝"/>
        </w:rPr>
        <w:t>条、第</w:t>
      </w:r>
      <w:r>
        <w:rPr>
          <w:rFonts w:hint="eastAsia" w:ascii="ＭＳ 明朝" w:hAnsi="ＭＳ 明朝"/>
        </w:rPr>
        <w:t>12</w:t>
      </w:r>
      <w:r>
        <w:rPr>
          <w:rFonts w:hint="eastAsia" w:ascii="ＭＳ 明朝" w:hAnsi="ＭＳ 明朝"/>
        </w:rPr>
        <w:t>条関係</w:t>
      </w:r>
      <w:r>
        <w:rPr>
          <w:rFonts w:hint="eastAsia" w:ascii="ＭＳ 明朝" w:hAnsi="ＭＳ 明朝"/>
        </w:rPr>
        <w:t>)</w:t>
      </w:r>
    </w:p>
    <w:p>
      <w:pPr>
        <w:pStyle w:val="0"/>
        <w:spacing w:before="100" w:beforeLines="0" w:beforeAutospacing="1"/>
        <w:jc w:val="center"/>
        <w:rPr>
          <w:rFonts w:hint="default" w:ascii="ＭＳ 明朝" w:hAnsi="ＭＳ 明朝"/>
          <w:sz w:val="24"/>
        </w:rPr>
      </w:pPr>
      <w:r>
        <w:rPr>
          <w:rFonts w:hint="eastAsia" w:ascii="ＭＳ 明朝" w:hAnsi="ＭＳ 明朝"/>
          <w:sz w:val="24"/>
        </w:rPr>
        <w:t>補助要件チェックシート</w:t>
      </w:r>
    </w:p>
    <w:p>
      <w:pPr>
        <w:pStyle w:val="0"/>
        <w:spacing w:before="100" w:beforeLines="0" w:beforeAutospacing="1"/>
        <w:rPr>
          <w:rFonts w:hint="default" w:ascii="ＭＳ 明朝" w:hAnsi="ＭＳ 明朝"/>
        </w:rPr>
      </w:pPr>
      <w:r>
        <w:rPr>
          <w:rFonts w:hint="eastAsia" w:ascii="ＭＳ 明朝" w:hAnsi="ＭＳ 明朝"/>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pPr>
        <w:pStyle w:val="0"/>
        <w:spacing w:before="100" w:beforeLines="0" w:beforeAutospacing="1"/>
        <w:rPr>
          <w:rFonts w:hint="default" w:ascii="ＭＳ 明朝" w:hAnsi="ＭＳ 明朝"/>
        </w:rPr>
      </w:pPr>
      <w:r>
        <w:rPr>
          <w:rFonts w:hint="eastAsia" w:ascii="ＭＳ 明朝" w:hAnsi="ＭＳ 明朝"/>
          <w:u w:val="single" w:color="auto"/>
        </w:rPr>
        <w:t>申請者名　　　　　　　　　　　　　　　</w:t>
      </w:r>
    </w:p>
    <w:tbl>
      <w:tblPr>
        <w:tblStyle w:val="38"/>
        <w:tblW w:w="9634" w:type="dxa"/>
        <w:tblInd w:w="0" w:type="dxa"/>
        <w:tblLayout w:type="fixed"/>
        <w:tblLook w:firstRow="1" w:lastRow="0" w:firstColumn="1" w:lastColumn="0" w:noHBand="0" w:noVBand="1" w:val="04A0"/>
      </w:tblPr>
      <w:tblGrid>
        <w:gridCol w:w="988"/>
        <w:gridCol w:w="850"/>
        <w:gridCol w:w="6767"/>
        <w:gridCol w:w="1029"/>
      </w:tblGrid>
      <w:tr>
        <w:trPr/>
        <w:tc>
          <w:tcPr>
            <w:tcW w:w="1838" w:type="dxa"/>
            <w:gridSpan w:val="2"/>
            <w:vAlign w:val="top"/>
          </w:tcPr>
          <w:p>
            <w:pPr>
              <w:pStyle w:val="0"/>
              <w:spacing w:before="100" w:beforeLines="0" w:beforeAutospacing="1"/>
              <w:jc w:val="center"/>
              <w:rPr>
                <w:rFonts w:hint="default" w:ascii="ＭＳ 明朝" w:hAnsi="ＭＳ 明朝"/>
              </w:rPr>
            </w:pPr>
            <w:r>
              <w:rPr>
                <w:rFonts w:hint="eastAsia" w:ascii="ＭＳ 明朝" w:hAnsi="ＭＳ 明朝"/>
              </w:rPr>
              <w:t>項目</w:t>
            </w:r>
          </w:p>
        </w:tc>
        <w:tc>
          <w:tcPr>
            <w:tcW w:w="6767" w:type="dxa"/>
            <w:vAlign w:val="top"/>
          </w:tcPr>
          <w:p>
            <w:pPr>
              <w:pStyle w:val="0"/>
              <w:spacing w:before="100" w:beforeLines="0" w:beforeAutospacing="1"/>
              <w:jc w:val="center"/>
              <w:rPr>
                <w:rFonts w:hint="default" w:ascii="ＭＳ 明朝" w:hAnsi="ＭＳ 明朝"/>
              </w:rPr>
            </w:pPr>
            <w:r>
              <w:rPr>
                <w:rFonts w:hint="eastAsia" w:ascii="ＭＳ 明朝" w:hAnsi="ＭＳ 明朝"/>
              </w:rPr>
              <w:t>確認内容</w:t>
            </w:r>
          </w:p>
        </w:tc>
        <w:tc>
          <w:tcPr>
            <w:tcW w:w="1029" w:type="dxa"/>
            <w:vAlign w:val="top"/>
          </w:tcPr>
          <w:p>
            <w:pPr>
              <w:pStyle w:val="0"/>
              <w:spacing w:before="100" w:beforeLines="0" w:beforeAutospacing="1"/>
              <w:jc w:val="center"/>
              <w:rPr>
                <w:rFonts w:hint="default" w:ascii="ＭＳ 明朝" w:hAnsi="ＭＳ 明朝"/>
              </w:rPr>
            </w:pPr>
            <w:r>
              <w:rPr>
                <w:rFonts w:hint="eastAsia" w:ascii="ＭＳ 明朝" w:hAnsi="ＭＳ 明朝"/>
              </w:rPr>
              <w:t>チェック欄</w:t>
            </w:r>
          </w:p>
        </w:tc>
      </w:tr>
      <w:tr>
        <w:trPr/>
        <w:tc>
          <w:tcPr>
            <w:tcW w:w="9634" w:type="dxa"/>
            <w:gridSpan w:val="4"/>
            <w:vAlign w:val="top"/>
          </w:tcPr>
          <w:p>
            <w:pPr>
              <w:pStyle w:val="0"/>
              <w:spacing w:before="100" w:beforeLines="0" w:beforeAutospacing="1"/>
              <w:jc w:val="left"/>
              <w:rPr>
                <w:rFonts w:hint="default" w:ascii="ＭＳ 明朝" w:hAnsi="ＭＳ 明朝"/>
              </w:rPr>
            </w:pPr>
            <w:r>
              <w:rPr>
                <w:rFonts w:hint="eastAsia" w:ascii="ＭＳ 明朝" w:hAnsi="ＭＳ 明朝"/>
              </w:rPr>
              <w:t>(</w:t>
            </w:r>
            <w:r>
              <w:rPr>
                <w:rFonts w:hint="eastAsia" w:ascii="ＭＳ 明朝" w:hAnsi="ＭＳ 明朝"/>
              </w:rPr>
              <w:t>補助対象者要件</w:t>
            </w: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r>
              <w:rPr>
                <w:rFonts w:hint="eastAsia" w:ascii="ＭＳ 明朝" w:hAnsi="ＭＳ 明朝"/>
              </w:rPr>
              <w:t>4.(2)</w:t>
            </w:r>
          </w:p>
        </w:tc>
        <w:tc>
          <w:tcPr>
            <w:tcW w:w="850" w:type="dxa"/>
            <w:vAlign w:val="top"/>
          </w:tcPr>
          <w:p>
            <w:pPr>
              <w:pStyle w:val="0"/>
              <w:spacing w:before="100" w:beforeLines="0" w:beforeAutospacing="1"/>
              <w:rPr>
                <w:rFonts w:hint="default" w:ascii="ＭＳ 明朝" w:hAnsi="ＭＳ 明朝"/>
              </w:rPr>
            </w:pP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市税の滞納がないこと。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r>
              <w:rPr>
                <w:rFonts w:hint="eastAsia" w:ascii="ＭＳ 明朝" w:hAnsi="ＭＳ 明朝"/>
              </w:rPr>
              <w:t>4.(3)</w:t>
            </w:r>
          </w:p>
        </w:tc>
        <w:tc>
          <w:tcPr>
            <w:tcW w:w="850" w:type="dxa"/>
            <w:vAlign w:val="top"/>
          </w:tcPr>
          <w:p>
            <w:pPr>
              <w:pStyle w:val="0"/>
              <w:spacing w:before="100" w:beforeLines="0" w:beforeAutospacing="1"/>
              <w:rPr>
                <w:rFonts w:hint="default" w:ascii="ＭＳ 明朝" w:hAnsi="ＭＳ 明朝"/>
              </w:rPr>
            </w:pP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暴力団又は暴力団員等と関わりがないこと。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634" w:type="dxa"/>
            <w:gridSpan w:val="4"/>
            <w:vAlign w:val="center"/>
          </w:tcPr>
          <w:p>
            <w:pPr>
              <w:pStyle w:val="0"/>
              <w:spacing w:before="100" w:beforeLines="0" w:beforeAutospacing="1"/>
              <w:jc w:val="left"/>
              <w:rPr>
                <w:rFonts w:hint="default" w:ascii="ＭＳ 明朝" w:hAnsi="ＭＳ 明朝"/>
              </w:rPr>
            </w:pPr>
            <w:r>
              <w:rPr>
                <w:rFonts w:hint="eastAsia" w:ascii="ＭＳ 明朝" w:hAnsi="ＭＳ 明朝"/>
              </w:rPr>
              <w:t>(</w:t>
            </w:r>
            <w:r>
              <w:rPr>
                <w:rFonts w:hint="eastAsia" w:ascii="ＭＳ 明朝" w:hAnsi="ＭＳ 明朝"/>
              </w:rPr>
              <w:t>補助事業要件</w:t>
            </w:r>
            <w:r>
              <w:rPr>
                <w:rFonts w:hint="eastAsia" w:ascii="ＭＳ 明朝" w:hAnsi="ＭＳ 明朝"/>
              </w:rPr>
              <w:t>)</w:t>
            </w:r>
          </w:p>
        </w:tc>
      </w:tr>
      <w:tr>
        <w:trPr/>
        <w:tc>
          <w:tcPr>
            <w:tcW w:w="1838" w:type="dxa"/>
            <w:gridSpan w:val="2"/>
            <w:vAlign w:val="top"/>
          </w:tcPr>
          <w:p>
            <w:pPr>
              <w:pStyle w:val="0"/>
              <w:spacing w:before="100" w:beforeLines="0" w:beforeAutospacing="1"/>
              <w:rPr>
                <w:rFonts w:hint="default" w:ascii="ＭＳ 明朝" w:hAnsi="ＭＳ 明朝"/>
              </w:rPr>
            </w:pPr>
            <w:r>
              <w:rPr>
                <w:rFonts w:hint="eastAsia" w:ascii="ＭＳ 明朝" w:hAnsi="ＭＳ 明朝"/>
              </w:rPr>
              <w:t>事業全般</w:t>
            </w:r>
          </w:p>
        </w:tc>
        <w:tc>
          <w:tcPr>
            <w:tcW w:w="6767" w:type="dxa"/>
            <w:vAlign w:val="top"/>
          </w:tcPr>
          <w:p>
            <w:pPr>
              <w:pStyle w:val="0"/>
              <w:spacing w:before="100" w:beforeLines="0" w:beforeAutospacing="1"/>
              <w:rPr>
                <w:rFonts w:hint="default" w:ascii="ＭＳ 明朝" w:hAnsi="ＭＳ 明朝"/>
              </w:rPr>
            </w:pPr>
          </w:p>
        </w:tc>
        <w:tc>
          <w:tcPr>
            <w:tcW w:w="1029" w:type="dxa"/>
            <w:vAlign w:val="center"/>
          </w:tcPr>
          <w:p>
            <w:pPr>
              <w:pStyle w:val="0"/>
              <w:spacing w:before="100" w:beforeLines="0" w:beforeAutospacing="1"/>
              <w:jc w:val="center"/>
              <w:rPr>
                <w:rFonts w:hint="default" w:ascii="ＭＳ 明朝" w:hAnsi="ＭＳ 明朝"/>
              </w:rPr>
            </w:pP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(1)</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本補助事業が二酸化炭素の排出の削減に効果があること。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(2)</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本補助事業実施時における最新の各種法令等に遵守した事業であること。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(3)</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本補助事業の実施により取得した温室効果ガス削減効果について、</w:t>
            </w:r>
            <w:r>
              <w:rPr>
                <w:rFonts w:hint="eastAsia" w:ascii="ＭＳ 明朝" w:hAnsi="ＭＳ 明朝"/>
              </w:rPr>
              <w:t>J-</w:t>
            </w:r>
            <w:r>
              <w:rPr>
                <w:rFonts w:hint="eastAsia" w:ascii="ＭＳ 明朝" w:hAnsi="ＭＳ 明朝"/>
              </w:rPr>
              <w:t>クレジット制度への登録を行わないこと。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(4)</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本補助事業によって得られる効果等について、様式第</w:t>
            </w:r>
            <w:r>
              <w:rPr>
                <w:rFonts w:hint="eastAsia" w:ascii="ＭＳ 明朝" w:hAnsi="ＭＳ 明朝"/>
              </w:rPr>
              <w:t>14</w:t>
            </w:r>
            <w:r>
              <w:rPr>
                <w:rFonts w:hint="eastAsia" w:ascii="ＭＳ 明朝" w:hAnsi="ＭＳ 明朝"/>
              </w:rPr>
              <w:t>号に基づく利用実績報告書により報告すること。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(5)</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本補助事業によって、得られる環境価値のうち、需要家に供給を行った電力量に紐づく環境価値を需要家に帰属させるものであること。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(6)</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FIT</w:t>
            </w:r>
            <w:r>
              <w:rPr>
                <w:rFonts w:hint="eastAsia" w:ascii="ＭＳ 明朝" w:hAnsi="ＭＳ 明朝"/>
                <w:color w:val="000000" w:themeColor="text1"/>
              </w:rPr>
              <w:t>又は</w:t>
            </w:r>
            <w:r>
              <w:rPr>
                <w:rFonts w:hint="eastAsia" w:ascii="ＭＳ 明朝" w:hAnsi="ＭＳ 明朝"/>
                <w:color w:val="000000" w:themeColor="text1"/>
              </w:rPr>
              <w:t>FIP</w:t>
            </w:r>
            <w:r>
              <w:rPr>
                <w:rFonts w:hint="eastAsia" w:ascii="ＭＳ 明朝" w:hAnsi="ＭＳ 明朝"/>
                <w:color w:val="000000" w:themeColor="text1"/>
              </w:rPr>
              <w:t>制度の認定を取得しないこと。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(7)</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電気事業法</w:t>
            </w:r>
            <w:r>
              <w:rPr>
                <w:rFonts w:hint="eastAsia" w:ascii="ＭＳ 明朝" w:hAnsi="ＭＳ 明朝"/>
                <w:color w:val="000000" w:themeColor="text1"/>
              </w:rPr>
              <w:t>(</w:t>
            </w:r>
            <w:r>
              <w:rPr>
                <w:rFonts w:hint="eastAsia" w:ascii="ＭＳ 明朝" w:hAnsi="ＭＳ 明朝"/>
                <w:color w:val="000000" w:themeColor="text1"/>
              </w:rPr>
              <w:t>昭和</w:t>
            </w:r>
            <w:r>
              <w:rPr>
                <w:rFonts w:hint="eastAsia" w:ascii="ＭＳ 明朝" w:hAnsi="ＭＳ 明朝"/>
                <w:color w:val="000000" w:themeColor="text1"/>
              </w:rPr>
              <w:t>39</w:t>
            </w:r>
            <w:r>
              <w:rPr>
                <w:rFonts w:hint="eastAsia" w:ascii="ＭＳ 明朝" w:hAnsi="ＭＳ 明朝"/>
                <w:color w:val="000000" w:themeColor="text1"/>
              </w:rPr>
              <w:t>年法律第</w:t>
            </w:r>
            <w:r>
              <w:rPr>
                <w:rFonts w:hint="eastAsia" w:ascii="ＭＳ 明朝" w:hAnsi="ＭＳ 明朝"/>
                <w:color w:val="000000" w:themeColor="text1"/>
              </w:rPr>
              <w:t>170</w:t>
            </w:r>
            <w:r>
              <w:rPr>
                <w:rFonts w:hint="eastAsia" w:ascii="ＭＳ 明朝" w:hAnsi="ＭＳ 明朝"/>
                <w:color w:val="000000" w:themeColor="text1"/>
              </w:rPr>
              <w:t>号</w:t>
            </w:r>
            <w:r>
              <w:rPr>
                <w:rFonts w:hint="eastAsia" w:ascii="ＭＳ 明朝" w:hAnsi="ＭＳ 明朝"/>
                <w:color w:val="000000" w:themeColor="text1"/>
              </w:rPr>
              <w:t>)</w:t>
            </w:r>
            <w:r>
              <w:rPr>
                <w:rFonts w:hint="eastAsia" w:ascii="ＭＳ 明朝" w:hAnsi="ＭＳ 明朝"/>
                <w:color w:val="000000" w:themeColor="text1"/>
              </w:rPr>
              <w:t>第</w:t>
            </w:r>
            <w:r>
              <w:rPr>
                <w:rFonts w:hint="eastAsia" w:ascii="ＭＳ 明朝" w:hAnsi="ＭＳ 明朝"/>
                <w:color w:val="000000" w:themeColor="text1"/>
              </w:rPr>
              <w:t>2</w:t>
            </w:r>
            <w:r>
              <w:rPr>
                <w:rFonts w:hint="eastAsia" w:ascii="ＭＳ 明朝" w:hAnsi="ＭＳ 明朝"/>
                <w:color w:val="000000" w:themeColor="text1"/>
              </w:rPr>
              <w:t>条第</w:t>
            </w:r>
            <w:r>
              <w:rPr>
                <w:rFonts w:hint="eastAsia" w:ascii="ＭＳ 明朝" w:hAnsi="ＭＳ 明朝"/>
                <w:color w:val="000000" w:themeColor="text1"/>
              </w:rPr>
              <w:t>1</w:t>
            </w:r>
            <w:r>
              <w:rPr>
                <w:rFonts w:hint="eastAsia" w:ascii="ＭＳ 明朝" w:hAnsi="ＭＳ 明朝"/>
                <w:color w:val="000000" w:themeColor="text1"/>
              </w:rPr>
              <w:t>項第</w:t>
            </w:r>
            <w:r>
              <w:rPr>
                <w:rFonts w:hint="eastAsia" w:ascii="ＭＳ 明朝" w:hAnsi="ＭＳ 明朝"/>
                <w:color w:val="000000" w:themeColor="text1"/>
              </w:rPr>
              <w:t>5</w:t>
            </w:r>
            <w:r>
              <w:rPr>
                <w:rFonts w:hint="eastAsia" w:ascii="ＭＳ 明朝" w:hAnsi="ＭＳ 明朝"/>
                <w:color w:val="000000" w:themeColor="text1"/>
              </w:rPr>
              <w:t>号ロに定める接続供給</w:t>
            </w:r>
            <w:r>
              <w:rPr>
                <w:rFonts w:hint="eastAsia" w:ascii="ＭＳ 明朝" w:hAnsi="ＭＳ 明朝"/>
                <w:color w:val="000000" w:themeColor="text1"/>
              </w:rPr>
              <w:t>(</w:t>
            </w:r>
            <w:r>
              <w:rPr>
                <w:rFonts w:hint="eastAsia" w:ascii="ＭＳ 明朝" w:hAnsi="ＭＳ 明朝"/>
                <w:color w:val="000000" w:themeColor="text1"/>
              </w:rPr>
              <w:t>自己託送</w:t>
            </w:r>
            <w:r>
              <w:rPr>
                <w:rFonts w:hint="eastAsia" w:ascii="ＭＳ 明朝" w:hAnsi="ＭＳ 明朝"/>
                <w:color w:val="000000" w:themeColor="text1"/>
              </w:rPr>
              <w:t>)</w:t>
            </w:r>
            <w:r>
              <w:rPr>
                <w:rFonts w:hint="eastAsia" w:ascii="ＭＳ 明朝" w:hAnsi="ＭＳ 明朝"/>
                <w:color w:val="000000" w:themeColor="text1"/>
              </w:rPr>
              <w:t>を行わないものであること。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(8)</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需要家の敷地内に補助事業により導入する補助対象設備で、発電して消費する電力量を、当該補助対象設備で発電する電力量の</w:t>
            </w:r>
            <w:r>
              <w:rPr>
                <w:rFonts w:hint="eastAsia" w:ascii="ＭＳ 明朝" w:hAnsi="ＭＳ 明朝"/>
                <w:color w:val="000000" w:themeColor="text1"/>
              </w:rPr>
              <w:t>30</w:t>
            </w:r>
            <w:r>
              <w:rPr>
                <w:rFonts w:hint="eastAsia" w:ascii="ＭＳ 明朝" w:hAnsi="ＭＳ 明朝"/>
                <w:color w:val="000000" w:themeColor="text1"/>
              </w:rPr>
              <w:t>％以上とすること。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(9)</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本補助事業以外の、国又は地方自治体等から他の補助等を受けて事業を実施するものでないこと。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(10)</w:t>
            </w:r>
          </w:p>
        </w:tc>
        <w:tc>
          <w:tcPr>
            <w:tcW w:w="6767" w:type="dxa"/>
            <w:vAlign w:val="top"/>
          </w:tcPr>
          <w:p>
            <w:pPr>
              <w:pStyle w:val="0"/>
              <w:spacing w:before="100" w:beforeLines="0" w:beforeAutospacing="1"/>
              <w:rPr>
                <w:rFonts w:hint="default" w:ascii="ＭＳ 明朝" w:hAnsi="ＭＳ 明朝"/>
                <w:color w:val="000000" w:themeColor="text1"/>
                <w:highlight w:val="lightGray"/>
              </w:rPr>
            </w:pPr>
            <w:r>
              <w:rPr>
                <w:rFonts w:hint="eastAsia" w:ascii="ＭＳ 明朝" w:hAnsi="ＭＳ 明朝"/>
                <w:color w:val="000000" w:themeColor="text1"/>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(11)</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再生可能エネルギー電気の利用の促進に関する特別措置法</w:t>
            </w:r>
            <w:r>
              <w:rPr>
                <w:rFonts w:hint="eastAsia" w:ascii="ＭＳ 明朝" w:hAnsi="ＭＳ 明朝"/>
                <w:color w:val="000000" w:themeColor="text1"/>
              </w:rPr>
              <w:t>(</w:t>
            </w:r>
            <w:r>
              <w:rPr>
                <w:rFonts w:hint="eastAsia" w:ascii="ＭＳ 明朝" w:hAnsi="ＭＳ 明朝"/>
                <w:color w:val="000000" w:themeColor="text1"/>
              </w:rPr>
              <w:t>平成</w:t>
            </w:r>
            <w:r>
              <w:rPr>
                <w:rFonts w:hint="eastAsia" w:ascii="ＭＳ 明朝" w:hAnsi="ＭＳ 明朝"/>
                <w:color w:val="000000" w:themeColor="text1"/>
              </w:rPr>
              <w:t>23</w:t>
            </w:r>
            <w:r>
              <w:rPr>
                <w:rFonts w:hint="eastAsia" w:ascii="ＭＳ 明朝" w:hAnsi="ＭＳ 明朝"/>
                <w:color w:val="000000" w:themeColor="text1"/>
              </w:rPr>
              <w:t>年法律第</w:t>
            </w:r>
            <w:r>
              <w:rPr>
                <w:rFonts w:hint="eastAsia" w:ascii="ＭＳ 明朝" w:hAnsi="ＭＳ 明朝"/>
                <w:color w:val="000000" w:themeColor="text1"/>
              </w:rPr>
              <w:t>108</w:t>
            </w:r>
            <w:r>
              <w:rPr>
                <w:rFonts w:hint="eastAsia" w:ascii="ＭＳ 明朝" w:hAnsi="ＭＳ 明朝"/>
                <w:color w:val="000000" w:themeColor="text1"/>
              </w:rPr>
              <w:t>号</w:t>
            </w:r>
            <w:r>
              <w:rPr>
                <w:rFonts w:hint="eastAsia" w:ascii="ＭＳ 明朝" w:hAnsi="ＭＳ 明朝"/>
                <w:color w:val="000000" w:themeColor="text1"/>
              </w:rPr>
              <w:t>)</w:t>
            </w:r>
            <w:r>
              <w:rPr>
                <w:rFonts w:hint="eastAsia" w:ascii="ＭＳ 明朝" w:hAnsi="ＭＳ 明朝"/>
                <w:color w:val="000000" w:themeColor="text1"/>
              </w:rPr>
              <w:t>に基づく「事業計画ガイドライン</w:t>
            </w:r>
            <w:r>
              <w:rPr>
                <w:rFonts w:hint="eastAsia" w:ascii="ＭＳ 明朝" w:hAnsi="ＭＳ 明朝"/>
                <w:color w:val="000000" w:themeColor="text1"/>
              </w:rPr>
              <w:t>(</w:t>
            </w:r>
            <w:r>
              <w:rPr>
                <w:rFonts w:hint="eastAsia" w:ascii="ＭＳ 明朝" w:hAnsi="ＭＳ 明朝"/>
                <w:color w:val="000000" w:themeColor="text1"/>
              </w:rPr>
              <w:t>太陽光発電</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資源エネルギー庁</w:t>
            </w:r>
            <w:r>
              <w:rPr>
                <w:rFonts w:hint="eastAsia" w:ascii="ＭＳ 明朝" w:hAnsi="ＭＳ 明朝"/>
                <w:color w:val="000000" w:themeColor="text1"/>
              </w:rPr>
              <w:t>)</w:t>
            </w:r>
            <w:r>
              <w:rPr>
                <w:rFonts w:hint="eastAsia" w:ascii="ＭＳ 明朝" w:hAnsi="ＭＳ 明朝"/>
                <w:color w:val="000000" w:themeColor="text1"/>
              </w:rPr>
              <w:t>に定める遵守事項等に準拠して事業を実施すること。特に、次に掲げるア～シについて遵守すること。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ア</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近隣住民や地域の自治体と適切なコミュニケーションを図るとともに、近隣住民に十分配慮して事業を実施するよう努めること。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イ</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関係法令及び条例の規定に従い、土地開発等の設計・施工を行うこと。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ウ</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防災、環境保全及び景観保全を考慮し、交付対象設備の設計を行うよう努めること。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エ</w:t>
            </w:r>
          </w:p>
        </w:tc>
        <w:tc>
          <w:tcPr>
            <w:tcW w:w="6767" w:type="dxa"/>
            <w:vAlign w:val="top"/>
          </w:tcPr>
          <w:p>
            <w:pPr>
              <w:pStyle w:val="0"/>
              <w:tabs>
                <w:tab w:val="left" w:leader="none" w:pos="1859"/>
              </w:tabs>
              <w:spacing w:before="100" w:beforeLines="0" w:beforeAutospacing="1"/>
              <w:rPr>
                <w:rFonts w:hint="default" w:ascii="ＭＳ 明朝" w:hAnsi="ＭＳ 明朝"/>
                <w:color w:val="000000" w:themeColor="text1"/>
              </w:rPr>
            </w:pPr>
            <w:r>
              <w:rPr>
                <w:rFonts w:hint="eastAsia" w:ascii="ＭＳ 明朝" w:hAnsi="ＭＳ 明朝"/>
                <w:color w:val="000000" w:themeColor="text1"/>
              </w:rPr>
              <w:t>一の場所において、設備を複数の設備に分割したものでないこと。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Merge w:val="restart"/>
            <w:vAlign w:val="top"/>
          </w:tcPr>
          <w:p>
            <w:pPr>
              <w:pStyle w:val="0"/>
              <w:spacing w:before="100" w:beforeLines="0" w:beforeAutospacing="1"/>
              <w:rPr>
                <w:rFonts w:hint="default" w:ascii="ＭＳ 明朝" w:hAnsi="ＭＳ 明朝"/>
              </w:rPr>
            </w:pPr>
          </w:p>
        </w:tc>
        <w:tc>
          <w:tcPr>
            <w:tcW w:w="850" w:type="dxa"/>
            <w:vMerge w:val="restart"/>
            <w:vAlign w:val="top"/>
          </w:tcPr>
          <w:p>
            <w:pPr>
              <w:pStyle w:val="0"/>
              <w:spacing w:before="100" w:beforeLines="0" w:beforeAutospacing="1"/>
              <w:jc w:val="right"/>
              <w:rPr>
                <w:rFonts w:hint="default" w:ascii="ＭＳ 明朝" w:hAnsi="ＭＳ 明朝"/>
              </w:rPr>
            </w:pPr>
            <w:r>
              <w:rPr>
                <w:rFonts w:hint="eastAsia" w:ascii="ＭＳ 明朝" w:hAnsi="ＭＳ 明朝"/>
              </w:rPr>
              <w:t>オ</w:t>
            </w:r>
          </w:p>
        </w:tc>
        <w:tc>
          <w:tcPr>
            <w:tcW w:w="67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before="100" w:beforeLines="0" w:beforeAutospacing="1"/>
              <w:rPr>
                <w:rFonts w:hint="default" w:ascii="ＭＳ 明朝" w:hAnsi="ＭＳ 明朝"/>
              </w:rPr>
            </w:pPr>
            <w:r>
              <w:rPr>
                <w:rFonts w:hint="eastAsia" w:ascii="ＭＳ 明朝" w:hAnsi="ＭＳ 明朝"/>
              </w:rPr>
              <w:t>20kW</w:t>
            </w:r>
            <w:r>
              <w:rPr>
                <w:rFonts w:hint="eastAsia" w:ascii="ＭＳ 明朝" w:hAnsi="ＭＳ 明朝"/>
              </w:rPr>
              <w:t>以上の太陽光発電設備の場合、発電設備を囲う柵塀を設置するとともに、柵塀等の外側の見えやすい場所に標識</w:t>
            </w:r>
            <w:r>
              <w:rPr>
                <w:rFonts w:hint="eastAsia" w:ascii="ＭＳ 明朝" w:hAnsi="ＭＳ 明朝"/>
              </w:rPr>
              <w:t>(</w:t>
            </w:r>
            <w:r>
              <w:rPr>
                <w:rFonts w:hint="eastAsia" w:ascii="ＭＳ 明朝" w:hAnsi="ＭＳ 明朝"/>
              </w:rPr>
              <w:t>補助対象者の氏名・住所・連絡先電話番号、保守点検責任者の名称・氏名・住所・連絡先電話番号、運転開始年月日及び本補助金により設置した旨を記載したもの</w:t>
            </w:r>
            <w:r>
              <w:rPr>
                <w:rFonts w:hint="eastAsia" w:ascii="ＭＳ 明朝" w:hAnsi="ＭＳ 明朝"/>
              </w:rPr>
              <w:t>)</w:t>
            </w:r>
            <w:r>
              <w:rPr>
                <w:rFonts w:hint="eastAsia" w:ascii="ＭＳ 明朝" w:hAnsi="ＭＳ 明朝"/>
              </w:rPr>
              <w:t>を掲示すること。</w:t>
            </w:r>
          </w:p>
        </w:tc>
        <w:tc>
          <w:tcPr>
            <w:tcW w:w="1029" w:type="dxa"/>
            <w:vMerge w:val="restart"/>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Merge w:val="continue"/>
            <w:vAlign w:val="top"/>
          </w:tcPr>
          <w:p>
            <w:pPr>
              <w:pStyle w:val="0"/>
              <w:spacing w:before="100" w:beforeLines="0" w:beforeAutospacing="1"/>
              <w:rPr>
                <w:rFonts w:hint="default" w:ascii="ＭＳ 明朝" w:hAnsi="ＭＳ 明朝"/>
              </w:rPr>
            </w:pPr>
          </w:p>
        </w:tc>
        <w:tc>
          <w:tcPr>
            <w:tcW w:w="850" w:type="dxa"/>
            <w:vMerge w:val="continue"/>
            <w:vAlign w:val="top"/>
          </w:tcPr>
          <w:p>
            <w:pPr>
              <w:pStyle w:val="0"/>
              <w:spacing w:before="100" w:beforeLines="0" w:beforeAutospacing="1"/>
              <w:jc w:val="right"/>
              <w:rPr>
                <w:rFonts w:hint="default" w:ascii="ＭＳ 明朝" w:hAnsi="ＭＳ 明朝"/>
              </w:rPr>
            </w:pPr>
          </w:p>
        </w:tc>
        <w:tc>
          <w:tcPr>
            <w:tcW w:w="676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20kW</w:t>
            </w:r>
            <w:r>
              <w:rPr>
                <w:rFonts w:hint="eastAsia" w:ascii="ＭＳ 明朝" w:hAnsi="ＭＳ 明朝"/>
                <w:color w:val="000000" w:themeColor="text1"/>
              </w:rPr>
              <w:t>未満などを理由に該当しない場合は、下記にその旨を記載し、右欄に☑を記入してください。</w:t>
            </w:r>
            <w:r>
              <w:rPr>
                <w:rFonts w:hint="eastAsia" w:ascii="ＭＳ 明朝" w:hAnsi="ＭＳ 明朝"/>
                <w:color w:val="000000" w:themeColor="text1"/>
              </w:rPr>
              <w:t>(</w:t>
            </w:r>
            <w:r>
              <w:rPr>
                <w:rFonts w:hint="eastAsia" w:ascii="ＭＳ 明朝" w:hAnsi="ＭＳ 明朝"/>
                <w:color w:val="000000" w:themeColor="text1"/>
              </w:rPr>
              <w:t>　　　　　　　　　　　　　　　　</w:t>
            </w:r>
            <w:r>
              <w:rPr>
                <w:rFonts w:hint="eastAsia" w:ascii="ＭＳ 明朝" w:hAnsi="ＭＳ 明朝"/>
                <w:color w:val="000000" w:themeColor="text1"/>
              </w:rPr>
              <w:t>)</w:t>
            </w:r>
          </w:p>
        </w:tc>
        <w:tc>
          <w:tcPr>
            <w:tcW w:w="1029" w:type="dxa"/>
            <w:vMerge w:val="continue"/>
            <w:vAlign w:val="center"/>
          </w:tcPr>
          <w:p>
            <w:pPr>
              <w:pStyle w:val="0"/>
              <w:spacing w:before="100" w:beforeLines="0" w:beforeAutospacing="1"/>
              <w:jc w:val="center"/>
              <w:rPr>
                <w:rFonts w:hint="default" w:ascii="ＭＳ 明朝" w:hAnsi="ＭＳ 明朝"/>
              </w:rPr>
            </w:pP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カ</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電気事業法の規定に基づく技術基準適合義務、立入検査及び報告徴収に対する資料の提出に対応するため、発電設備の設計図書及び竣工試験データを含む完成図書を作成し、適切な方法で管理及び保存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キ</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設備の設置後、適切な保守点検及び維持管理を実施すること。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ク</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接続契約を締結している一般送配電事業者又は特定送配電事業者から、国が定める出力制御の指針に基づいた出力制御の要請を受けたときは、適切な方法により協力すること。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ケ</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防災、環境保全及び景観保全の観点から計画段階で予期しなかった問題が生じた場合、適切な対策を講じ、災害防止、自然破壊及び近隣への配慮を行うよう努めること。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コ</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補助対象設備を処分する際は、関係法令</w:t>
            </w:r>
            <w:r>
              <w:rPr>
                <w:rFonts w:hint="eastAsia" w:ascii="ＭＳ 明朝" w:hAnsi="ＭＳ 明朝"/>
                <w:color w:val="000000" w:themeColor="text1"/>
              </w:rPr>
              <w:t>(</w:t>
            </w:r>
            <w:r>
              <w:rPr>
                <w:rFonts w:hint="eastAsia" w:ascii="ＭＳ 明朝" w:hAnsi="ＭＳ 明朝"/>
                <w:color w:val="000000" w:themeColor="text1"/>
              </w:rPr>
              <w:t>立地する自治体の条例を含む。</w:t>
            </w:r>
            <w:r>
              <w:rPr>
                <w:rFonts w:hint="eastAsia" w:ascii="ＭＳ 明朝" w:hAnsi="ＭＳ 明朝"/>
                <w:color w:val="000000" w:themeColor="text1"/>
              </w:rPr>
              <w:t>)</w:t>
            </w:r>
            <w:r>
              <w:rPr>
                <w:rFonts w:hint="eastAsia" w:ascii="ＭＳ 明朝" w:hAnsi="ＭＳ 明朝"/>
                <w:color w:val="000000" w:themeColor="text1"/>
              </w:rPr>
              <w:t>の規定を遵守すること。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サ</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交付対象設備の解体・撤去等に係る廃棄等費用について、「廃棄等費用積立ガイドライン」</w:t>
            </w:r>
            <w:r>
              <w:rPr>
                <w:rFonts w:hint="eastAsia" w:ascii="ＭＳ 明朝" w:hAnsi="ＭＳ 明朝"/>
                <w:color w:val="000000" w:themeColor="text1"/>
              </w:rPr>
              <w:t>(</w:t>
            </w:r>
            <w:r>
              <w:rPr>
                <w:rFonts w:hint="eastAsia" w:ascii="ＭＳ 明朝" w:hAnsi="ＭＳ 明朝"/>
                <w:color w:val="000000" w:themeColor="text1"/>
              </w:rPr>
              <w:t>資源エネルギー庁</w:t>
            </w:r>
            <w:r>
              <w:rPr>
                <w:rFonts w:hint="eastAsia" w:ascii="ＭＳ 明朝" w:hAnsi="ＭＳ 明朝"/>
                <w:color w:val="000000" w:themeColor="text1"/>
              </w:rPr>
              <w:t>)</w:t>
            </w:r>
            <w:r>
              <w:rPr>
                <w:rFonts w:hint="eastAsia" w:ascii="ＭＳ 明朝" w:hAnsi="ＭＳ 明朝"/>
                <w:color w:val="000000" w:themeColor="text1"/>
              </w:rPr>
              <w:t>を参考に、必要な経費を算定し、積立等の方法により確保する計画を策定し、その計画に従い適切な経費の積立等を行い、発電事業の終了時において、適切な廃棄又はリサイクルを実施すること。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jc w:val="right"/>
              <w:rPr>
                <w:rFonts w:hint="default" w:ascii="ＭＳ 明朝" w:hAnsi="ＭＳ 明朝"/>
              </w:rPr>
            </w:pPr>
            <w:r>
              <w:rPr>
                <w:rFonts w:hint="eastAsia" w:ascii="ＭＳ 明朝" w:hAnsi="ＭＳ 明朝"/>
              </w:rPr>
              <w:t>シ</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災害等による撤去及び処分に備えた火災保険、地震保険及び第三者賠償保険等に加入するよう努めること。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1838" w:type="dxa"/>
            <w:gridSpan w:val="2"/>
            <w:vAlign w:val="top"/>
          </w:tcPr>
          <w:p>
            <w:pPr>
              <w:pStyle w:val="0"/>
              <w:spacing w:before="100" w:beforeLines="0" w:beforeAutospacing="1"/>
              <w:rPr>
                <w:rFonts w:hint="default" w:ascii="ＭＳ 明朝" w:hAnsi="ＭＳ 明朝"/>
              </w:rPr>
            </w:pPr>
            <w:r>
              <w:rPr>
                <w:rFonts w:hint="eastAsia" w:ascii="ＭＳ 明朝" w:hAnsi="ＭＳ 明朝"/>
              </w:rPr>
              <w:t>太陽光発電設備</w:t>
            </w:r>
          </w:p>
        </w:tc>
        <w:tc>
          <w:tcPr>
            <w:tcW w:w="6767" w:type="dxa"/>
            <w:vAlign w:val="top"/>
          </w:tcPr>
          <w:p>
            <w:pPr>
              <w:pStyle w:val="0"/>
              <w:spacing w:before="100" w:beforeLines="0" w:beforeAutospacing="1"/>
              <w:rPr>
                <w:rFonts w:hint="default" w:ascii="ＭＳ 明朝" w:hAnsi="ＭＳ 明朝"/>
                <w:color w:val="000000" w:themeColor="text1"/>
              </w:rPr>
            </w:pPr>
          </w:p>
        </w:tc>
        <w:tc>
          <w:tcPr>
            <w:tcW w:w="1029" w:type="dxa"/>
            <w:vAlign w:val="center"/>
          </w:tcPr>
          <w:p>
            <w:pPr>
              <w:pStyle w:val="0"/>
              <w:spacing w:before="100" w:beforeLines="0" w:beforeAutospacing="1"/>
              <w:jc w:val="center"/>
              <w:rPr>
                <w:rFonts w:hint="default" w:ascii="ＭＳ 明朝" w:hAnsi="ＭＳ 明朝"/>
              </w:rPr>
            </w:pP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(1)</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商用化されており、導入実績があるものであること。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(2)</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未使用品であること。</w:t>
            </w:r>
            <w:r>
              <w:rPr>
                <w:rFonts w:hint="eastAsia" w:ascii="ＭＳ 明朝" w:hAnsi="ＭＳ 明朝"/>
                <w:color w:val="000000" w:themeColor="text1"/>
              </w:rPr>
              <w:t>(</w:t>
            </w:r>
            <w:r>
              <w:rPr>
                <w:rFonts w:hint="eastAsia" w:ascii="ＭＳ 明朝" w:hAnsi="ＭＳ 明朝"/>
                <w:color w:val="000000" w:themeColor="text1"/>
              </w:rPr>
              <w:t>中古品は補助対象外</w:t>
            </w:r>
            <w:r>
              <w:rPr>
                <w:rFonts w:hint="eastAsia" w:ascii="ＭＳ 明朝" w:hAnsi="ＭＳ 明朝"/>
                <w:color w:val="000000" w:themeColor="text1"/>
              </w:rPr>
              <w:t>)</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Merge w:val="restart"/>
            <w:vAlign w:val="top"/>
          </w:tcPr>
          <w:p>
            <w:pPr>
              <w:pStyle w:val="0"/>
              <w:spacing w:before="100" w:beforeLines="0" w:beforeAutospacing="1"/>
              <w:rPr>
                <w:rFonts w:hint="default" w:ascii="ＭＳ 明朝" w:hAnsi="ＭＳ 明朝"/>
              </w:rPr>
            </w:pPr>
            <w:r>
              <w:rPr>
                <w:rFonts w:hint="eastAsia" w:ascii="ＭＳ 明朝" w:hAnsi="ＭＳ 明朝"/>
              </w:rPr>
              <w:t>(3)</w:t>
            </w:r>
          </w:p>
        </w:tc>
        <w:tc>
          <w:tcPr>
            <w:tcW w:w="6767" w:type="dxa"/>
            <w:vAlign w:val="top"/>
          </w:tcPr>
          <w:p>
            <w:pPr>
              <w:pStyle w:val="0"/>
              <w:spacing w:before="100" w:beforeLines="0" w:beforeAutospacing="1"/>
              <w:rPr>
                <w:rFonts w:hint="default" w:ascii="ＭＳ 明朝" w:hAnsi="ＭＳ 明朝"/>
                <w:color w:val="000000" w:themeColor="text1"/>
              </w:rPr>
            </w:pPr>
            <w:r>
              <w:rPr>
                <w:rFonts w:hint="eastAsia" w:ascii="ＭＳ 明朝" w:hAnsi="ＭＳ 明朝"/>
                <w:color w:val="000000" w:themeColor="text1"/>
              </w:rPr>
              <w:t>固定方法は、「</w:t>
            </w:r>
            <w:r>
              <w:rPr>
                <w:rFonts w:hint="eastAsia" w:ascii="ＭＳ 明朝" w:hAnsi="ＭＳ 明朝"/>
                <w:color w:val="000000" w:themeColor="text1"/>
              </w:rPr>
              <w:t>JIS C 8955:2017</w:t>
            </w:r>
            <w:r>
              <w:rPr>
                <w:rFonts w:hint="eastAsia" w:ascii="ＭＳ 明朝" w:hAnsi="ＭＳ 明朝"/>
                <w:color w:val="000000" w:themeColor="text1"/>
              </w:rPr>
              <w:t>太陽電池アレイ用支持物の設計用荷重算出方法」など、一定の基準</w:t>
            </w:r>
            <w:r>
              <w:rPr>
                <w:rFonts w:hint="eastAsia" w:ascii="ＭＳ 明朝" w:hAnsi="ＭＳ 明朝"/>
                <w:color w:val="000000" w:themeColor="text1"/>
              </w:rPr>
              <w:t>(</w:t>
            </w:r>
            <w:r>
              <w:rPr>
                <w:rFonts w:hint="eastAsia" w:ascii="ＭＳ 明朝" w:hAnsi="ＭＳ 明朝"/>
                <w:color w:val="000000" w:themeColor="text1"/>
              </w:rPr>
              <w:t>固定荷重、風圧荷重、積雪荷重、地震荷重等</w:t>
            </w:r>
            <w:r>
              <w:rPr>
                <w:rFonts w:hint="eastAsia" w:ascii="ＭＳ 明朝" w:hAnsi="ＭＳ 明朝"/>
                <w:color w:val="000000" w:themeColor="text1"/>
              </w:rPr>
              <w:t>)</w:t>
            </w:r>
            <w:r>
              <w:rPr>
                <w:rFonts w:hint="eastAsia" w:ascii="ＭＳ 明朝" w:hAnsi="ＭＳ 明朝"/>
                <w:color w:val="000000" w:themeColor="text1"/>
              </w:rPr>
              <w:t>を満たすものであること。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Merge w:val="continue"/>
            <w:vAlign w:val="top"/>
          </w:tcPr>
          <w:p>
            <w:pPr>
              <w:pStyle w:val="0"/>
              <w:rPr>
                <w:rFonts w:hint="eastAsia"/>
              </w:rPr>
            </w:pPr>
          </w:p>
        </w:tc>
        <w:tc>
          <w:tcPr>
            <w:tcW w:w="6767" w:type="dxa"/>
            <w:vAlign w:val="top"/>
          </w:tcPr>
          <w:p>
            <w:pPr>
              <w:pStyle w:val="0"/>
              <w:spacing w:before="100" w:beforeLines="0" w:beforeAutospacing="1"/>
              <w:rPr>
                <w:rFonts w:hint="default" w:ascii="ＭＳ 明朝" w:hAnsi="ＭＳ 明朝"/>
                <w:color w:val="000000" w:themeColor="text1"/>
                <w:u w:val="single" w:color="auto"/>
              </w:rPr>
            </w:pPr>
            <w:r>
              <w:rPr>
                <w:rFonts w:hint="eastAsia" w:ascii="ＭＳ 明朝" w:hAnsi="ＭＳ 明朝"/>
                <w:color w:val="000000" w:themeColor="text1"/>
              </w:rPr>
              <w:t>≪屋根等に太陽光発電設備を設置する場合≫</w:t>
            </w:r>
            <w:r>
              <w:rPr>
                <w:rFonts w:hint="eastAsia" w:ascii="ＭＳ 明朝" w:hAnsi="ＭＳ 明朝"/>
                <w:color w:val="000000" w:themeColor="text1"/>
              </w:rPr>
              <w:br w:type="textWrapping" w:clear="none"/>
            </w:r>
            <w:r>
              <w:rPr>
                <w:rFonts w:hint="eastAsia" w:ascii="ＭＳ 明朝" w:hAnsi="ＭＳ 明朝"/>
                <w:color w:val="000000" w:themeColor="text1"/>
              </w:rPr>
              <w:t>積雪を考慮した上で、太陽光発電設備を設置できる耐荷重を有する建物であること。</w:t>
            </w:r>
            <w:r>
              <w:rPr>
                <w:rFonts w:hint="eastAsia" w:ascii="ＭＳ 明朝" w:hAnsi="ＭＳ 明朝"/>
                <w:color w:val="000000" w:themeColor="text1"/>
              </w:rPr>
              <w:t>(</w:t>
            </w:r>
            <w:r>
              <w:rPr>
                <w:rFonts w:hint="eastAsia" w:ascii="ＭＳ 明朝" w:hAnsi="ＭＳ 明朝"/>
                <w:color w:val="000000" w:themeColor="text1"/>
              </w:rPr>
              <w:t>太陽光設備の設置場所が屋根で無いなど、本項目に該当しない場合は、下記に設置場所の概要を記載し、右欄に☑を記入してください。</w:t>
            </w:r>
            <w:r>
              <w:rPr>
                <w:rFonts w:hint="eastAsia" w:ascii="ＭＳ 明朝" w:hAnsi="ＭＳ 明朝"/>
                <w:color w:val="000000" w:themeColor="text1"/>
              </w:rPr>
              <w:t>)</w:t>
            </w:r>
            <w:r>
              <w:rPr>
                <w:rFonts w:hint="eastAsia" w:ascii="ＭＳ 明朝" w:hAnsi="ＭＳ 明朝"/>
                <w:color w:val="000000" w:themeColor="text1"/>
                <w:u w:val="single" w:color="auto"/>
              </w:rPr>
              <w:br w:type="textWrapping" w:clear="none"/>
            </w:r>
            <w:r>
              <w:rPr>
                <w:rFonts w:hint="eastAsia" w:ascii="ＭＳ 明朝" w:hAnsi="ＭＳ 明朝"/>
                <w:u w:val="single" w:color="auto"/>
              </w:rPr>
              <w:t>(</w:t>
            </w:r>
            <w:r>
              <w:rPr>
                <w:rFonts w:hint="eastAsia" w:ascii="ＭＳ 明朝" w:hAnsi="ＭＳ 明朝"/>
                <w:color w:val="808080" w:themeColor="background1" w:themeShade="80"/>
                <w:u w:val="single" w:color="auto"/>
              </w:rPr>
              <w:t>例：建物敷地内の未利用地　　　　　　　　　　　　　　</w:t>
            </w:r>
            <w:r>
              <w:rPr>
                <w:rFonts w:hint="eastAsia" w:ascii="ＭＳ 明朝" w:hAnsi="ＭＳ 明朝"/>
                <w:u w:val="single" w:color="auto"/>
              </w:rPr>
              <w:t>)</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1838" w:type="dxa"/>
            <w:gridSpan w:val="2"/>
            <w:vAlign w:val="top"/>
          </w:tcPr>
          <w:p>
            <w:pPr>
              <w:pStyle w:val="0"/>
              <w:spacing w:before="100" w:beforeLines="0" w:beforeAutospacing="1"/>
              <w:rPr>
                <w:rFonts w:hint="default" w:ascii="ＭＳ 明朝" w:hAnsi="ＭＳ 明朝"/>
              </w:rPr>
            </w:pPr>
            <w:r>
              <w:rPr>
                <w:rFonts w:hint="eastAsia" w:ascii="ＭＳ 明朝" w:hAnsi="ＭＳ 明朝"/>
              </w:rPr>
              <w:t>蓄電池設備</w:t>
            </w:r>
          </w:p>
        </w:tc>
        <w:tc>
          <w:tcPr>
            <w:tcW w:w="6767" w:type="dxa"/>
            <w:vAlign w:val="top"/>
          </w:tcPr>
          <w:p>
            <w:pPr>
              <w:pStyle w:val="0"/>
              <w:spacing w:before="100" w:beforeLines="0" w:beforeAutospacing="1"/>
              <w:rPr>
                <w:rFonts w:hint="default" w:ascii="ＭＳ 明朝" w:hAnsi="ＭＳ 明朝"/>
              </w:rPr>
            </w:pPr>
          </w:p>
        </w:tc>
        <w:tc>
          <w:tcPr>
            <w:tcW w:w="1029" w:type="dxa"/>
            <w:vAlign w:val="center"/>
          </w:tcPr>
          <w:p>
            <w:pPr>
              <w:pStyle w:val="0"/>
              <w:spacing w:before="100" w:beforeLines="0" w:beforeAutospacing="1"/>
              <w:jc w:val="center"/>
              <w:rPr>
                <w:rFonts w:hint="default" w:ascii="ＭＳ 明朝" w:hAnsi="ＭＳ 明朝"/>
              </w:rPr>
            </w:pP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(1)</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上欄に示す太陽光発電設備の付帯設備であること。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(2)</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商用化されており、導入実績があるものであること。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(3)</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未使用品であること。</w:t>
            </w:r>
            <w:r>
              <w:rPr>
                <w:rFonts w:hint="eastAsia" w:ascii="ＭＳ 明朝" w:hAnsi="ＭＳ 明朝"/>
              </w:rPr>
              <w:t>(</w:t>
            </w:r>
            <w:r>
              <w:rPr>
                <w:rFonts w:hint="eastAsia" w:ascii="ＭＳ 明朝" w:hAnsi="ＭＳ 明朝"/>
              </w:rPr>
              <w:t>中古品は補助対象外</w:t>
            </w:r>
            <w:r>
              <w:rPr>
                <w:rFonts w:hint="eastAsia" w:ascii="ＭＳ 明朝" w:hAnsi="ＭＳ 明朝"/>
              </w:rPr>
              <w:t>)</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(4)</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再エネ発電設備によって発電した電気を蓄電するものであり、平時において充放電を繰り返すことを前提とした設備であること。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(5)</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停電時のみに利用する非常用予備電源でないこと。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(6)</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定置用であること。</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r>
        <w:trPr/>
        <w:tc>
          <w:tcPr>
            <w:tcW w:w="988" w:type="dxa"/>
            <w:vAlign w:val="top"/>
          </w:tcPr>
          <w:p>
            <w:pPr>
              <w:pStyle w:val="0"/>
              <w:spacing w:before="100" w:beforeLines="0" w:beforeAutospacing="1"/>
              <w:rPr>
                <w:rFonts w:hint="default" w:ascii="ＭＳ 明朝" w:hAnsi="ＭＳ 明朝"/>
              </w:rPr>
            </w:pPr>
          </w:p>
        </w:tc>
        <w:tc>
          <w:tcPr>
            <w:tcW w:w="850" w:type="dxa"/>
            <w:vAlign w:val="top"/>
          </w:tcPr>
          <w:p>
            <w:pPr>
              <w:pStyle w:val="0"/>
              <w:spacing w:before="100" w:beforeLines="0" w:beforeAutospacing="1"/>
              <w:rPr>
                <w:rFonts w:hint="default" w:ascii="ＭＳ 明朝" w:hAnsi="ＭＳ 明朝"/>
              </w:rPr>
            </w:pPr>
            <w:r>
              <w:rPr>
                <w:rFonts w:hint="eastAsia" w:ascii="ＭＳ 明朝" w:hAnsi="ＭＳ 明朝"/>
              </w:rPr>
              <w:t>(7)</w:t>
            </w:r>
          </w:p>
        </w:tc>
        <w:tc>
          <w:tcPr>
            <w:tcW w:w="6767" w:type="dxa"/>
            <w:vAlign w:val="top"/>
          </w:tcPr>
          <w:p>
            <w:pPr>
              <w:pStyle w:val="0"/>
              <w:spacing w:before="100" w:beforeLines="0" w:beforeAutospacing="1"/>
              <w:rPr>
                <w:rFonts w:hint="default" w:ascii="ＭＳ 明朝" w:hAnsi="ＭＳ 明朝"/>
              </w:rPr>
            </w:pPr>
            <w:r>
              <w:rPr>
                <w:rFonts w:hint="eastAsia" w:ascii="ＭＳ 明朝" w:hAnsi="ＭＳ 明朝"/>
              </w:rPr>
              <w:t>12.5</w:t>
            </w:r>
            <w:r>
              <w:rPr>
                <w:rFonts w:hint="eastAsia" w:ascii="ＭＳ 明朝" w:hAnsi="ＭＳ 明朝"/>
              </w:rPr>
              <w:t>万円</w:t>
            </w:r>
            <w:r>
              <w:rPr>
                <w:rFonts w:hint="eastAsia" w:ascii="ＭＳ 明朝" w:hAnsi="ＭＳ 明朝"/>
              </w:rPr>
              <w:t>/kWh</w:t>
            </w:r>
            <w:r>
              <w:rPr>
                <w:rFonts w:hint="eastAsia" w:ascii="ＭＳ 明朝" w:hAnsi="ＭＳ 明朝"/>
                <w:highlight w:val="none"/>
              </w:rPr>
              <w:t>以下</w:t>
            </w:r>
            <w:r>
              <w:rPr>
                <w:rFonts w:hint="eastAsia" w:ascii="ＭＳ 明朝" w:hAnsi="ＭＳ 明朝"/>
              </w:rPr>
              <w:t>(</w:t>
            </w:r>
            <w:r>
              <w:rPr>
                <w:rFonts w:hint="eastAsia" w:ascii="ＭＳ 明朝" w:hAnsi="ＭＳ 明朝"/>
              </w:rPr>
              <w:t>工事費込み・税抜き</w:t>
            </w:r>
            <w:r>
              <w:rPr>
                <w:rFonts w:hint="eastAsia" w:ascii="ＭＳ 明朝" w:hAnsi="ＭＳ 明朝"/>
              </w:rPr>
              <w:t>)</w:t>
            </w:r>
            <w:r>
              <w:rPr>
                <w:rFonts w:hint="eastAsia" w:ascii="ＭＳ 明朝" w:hAnsi="ＭＳ 明朝"/>
              </w:rPr>
              <w:t>の蓄電システムとなるよう努めること。</w:t>
            </w:r>
            <w:r>
              <w:rPr>
                <w:rFonts w:hint="eastAsia"/>
              </w:rPr>
              <w:br w:type="textWrapping" w:clear="none"/>
            </w:r>
            <w:r>
              <w:rPr>
                <w:rFonts w:hint="eastAsia" w:ascii="ＭＳ 明朝" w:hAnsi="ＭＳ 明朝"/>
              </w:rPr>
              <w:t>※複数者からの見積りの取得や販売事業者に対して条件を満たす価格の蓄電システムの調達可否の確認を行う等の取組みを行うこと。</w:t>
            </w:r>
            <w:r>
              <w:rPr>
                <w:rFonts w:hint="eastAsia"/>
              </w:rPr>
              <w:br w:type="textWrapping" w:clear="none"/>
            </w:r>
            <w:r>
              <w:rPr>
                <w:rFonts w:hint="eastAsia" w:ascii="ＭＳ 明朝" w:hAnsi="ＭＳ 明朝"/>
              </w:rPr>
              <w:t>【実績報告時に記載】</w:t>
            </w:r>
            <w:r>
              <w:rPr>
                <w:rFonts w:hint="eastAsia"/>
              </w:rPr>
              <w:br w:type="textWrapping" w:clear="none"/>
            </w:r>
            <w:r>
              <w:rPr>
                <w:rFonts w:hint="eastAsia" w:ascii="ＭＳ 明朝" w:hAnsi="ＭＳ 明朝"/>
              </w:rPr>
              <w:t>　</w:t>
            </w:r>
            <w:r>
              <w:rPr>
                <w:rFonts w:hint="eastAsia" w:ascii="ＭＳ 明朝" w:hAnsi="ＭＳ 明朝"/>
              </w:rPr>
              <w:t>(</w:t>
            </w:r>
            <w:r>
              <w:rPr>
                <w:rFonts w:hint="eastAsia" w:ascii="ＭＳ 明朝" w:hAnsi="ＭＳ 明朝"/>
              </w:rPr>
              <w:t>行った取組み：　　　　　　　　　　　　　　　　　　　　　　</w:t>
            </w:r>
            <w:r>
              <w:rPr>
                <w:rFonts w:hint="eastAsia" w:ascii="ＭＳ 明朝" w:hAnsi="ＭＳ 明朝"/>
              </w:rPr>
              <w:t xml:space="preserve"> )</w:t>
            </w:r>
          </w:p>
        </w:tc>
        <w:tc>
          <w:tcPr>
            <w:tcW w:w="1029" w:type="dxa"/>
            <w:vAlign w:val="center"/>
          </w:tcPr>
          <w:p>
            <w:pPr>
              <w:pStyle w:val="0"/>
              <w:spacing w:before="100" w:beforeLines="0" w:beforeAutospacing="1"/>
              <w:jc w:val="center"/>
              <w:rPr>
                <w:rFonts w:hint="default" w:ascii="ＭＳ 明朝" w:hAnsi="ＭＳ 明朝"/>
              </w:rPr>
            </w:pPr>
            <w:r>
              <w:rPr>
                <w:rFonts w:hint="eastAsia" w:ascii="ＭＳ 明朝" w:hAnsi="ＭＳ 明朝"/>
              </w:rPr>
              <w:t>□</w:t>
            </w:r>
          </w:p>
        </w:tc>
      </w:tr>
    </w:tbl>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bookmarkStart w:id="0" w:name="_GoBack"/>
      <w:bookmarkEnd w:id="0"/>
    </w:p>
    <w:sectPr>
      <w:pgSz w:w="11906" w:h="16838"/>
      <w:pgMar w:top="1440" w:right="851" w:bottom="1440" w:left="851"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widowControl w:val="1"/>
      <w:tabs>
        <w:tab w:val="center" w:leader="none" w:pos="4252"/>
        <w:tab w:val="right" w:leader="none" w:pos="8504"/>
      </w:tabs>
      <w:snapToGrid w:val="0"/>
      <w:spacing w:after="100" w:afterLines="0" w:afterAutospacing="1"/>
    </w:pPr>
  </w:style>
  <w:style w:type="character" w:styleId="16" w:customStyle="1">
    <w:name w:val="ヘッダー (文字)"/>
    <w:basedOn w:val="10"/>
    <w:next w:val="16"/>
    <w:link w:val="15"/>
    <w:uiPriority w:val="0"/>
  </w:style>
  <w:style w:type="paragraph" w:styleId="17">
    <w:name w:val="footer"/>
    <w:basedOn w:val="0"/>
    <w:next w:val="17"/>
    <w:link w:val="18"/>
    <w:uiPriority w:val="0"/>
    <w:pPr>
      <w:widowControl w:val="1"/>
      <w:tabs>
        <w:tab w:val="center" w:leader="none" w:pos="4252"/>
        <w:tab w:val="right" w:leader="none" w:pos="8504"/>
      </w:tabs>
      <w:snapToGrid w:val="0"/>
      <w:spacing w:after="100" w:afterLines="0" w:afterAutospacing="1"/>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name w:val="Revision"/>
    <w:next w:val="30"/>
    <w:link w:val="0"/>
    <w:uiPriority w:val="0"/>
    <w:rPr>
      <w:kern w:val="2"/>
      <w:sz w:val="21"/>
    </w:rPr>
  </w:style>
  <w:style w:type="paragraph" w:styleId="31">
    <w:name w:val="caption"/>
    <w:basedOn w:val="0"/>
    <w:next w:val="33"/>
    <w:link w:val="32"/>
    <w:uiPriority w:val="0"/>
    <w:semiHidden/>
    <w:qFormat/>
    <w:pPr>
      <w:keepNext w:val="1"/>
      <w:keepLines w:val="1"/>
      <w:widowControl w:val="1"/>
      <w:spacing w:before="175" w:beforeLines="50" w:beforeAutospacing="0" w:after="175" w:afterLines="50" w:afterAutospacing="0"/>
      <w:contextualSpacing w:val="1"/>
      <w:jc w:val="center"/>
    </w:pPr>
    <w:rPr>
      <w:rFonts w:ascii="Arial" w:hAnsi="Arial" w:eastAsia="ＭＳ ゴシック"/>
    </w:rPr>
  </w:style>
  <w:style w:type="character" w:styleId="32" w:customStyle="1">
    <w:name w:val="図表番号 (文字)"/>
    <w:next w:val="32"/>
    <w:link w:val="31"/>
    <w:uiPriority w:val="0"/>
    <w:rPr>
      <w:rFonts w:ascii="Arial" w:hAnsi="Arial" w:eastAsia="ＭＳ ゴシック"/>
      <w:kern w:val="2"/>
      <w:sz w:val="21"/>
    </w:rPr>
  </w:style>
  <w:style w:type="paragraph" w:styleId="33">
    <w:name w:val="Body Text"/>
    <w:basedOn w:val="0"/>
    <w:next w:val="33"/>
    <w:link w:val="34"/>
    <w:uiPriority w:val="0"/>
  </w:style>
  <w:style w:type="character" w:styleId="34" w:customStyle="1">
    <w:name w:val="本文 (文字)"/>
    <w:next w:val="34"/>
    <w:link w:val="33"/>
    <w:uiPriority w:val="0"/>
    <w:rPr>
      <w:kern w:val="2"/>
      <w:sz w:val="21"/>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49</Words>
  <Characters>2262</Characters>
  <Application>JUST Note</Application>
  <Lines>325</Lines>
  <Paragraphs>120</Paragraphs>
  <CharactersWithSpaces>2309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2024-03-19T05:09:00Z</cp:lastPrinted>
  <dcterms:created xsi:type="dcterms:W3CDTF">2024-03-27T06:01:00Z</dcterms:created>
  <dcterms:modified xsi:type="dcterms:W3CDTF">2025-04-04T06:56:34Z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0x01010060ABA4F1B5428A45BA756470C4A01D69</vt:lpwstr>
  </property>
</Properties>
</file>