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29" w:tblpY="-84"/>
        <w:tblOverlap w:val="never"/>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4"/>
        <w:gridCol w:w="3265"/>
      </w:tblGrid>
      <w:tr>
        <w:trPr>
          <w:trHeight w:val="228" w:hRule="atLeast"/>
        </w:trPr>
        <w:tc>
          <w:tcPr>
            <w:tcW w:w="97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b w:val="0"/>
              </w:rPr>
            </w:pPr>
            <w:r>
              <w:rPr>
                <w:rFonts w:hint="eastAsia" w:ascii="ＭＳ ゴシック" w:hAnsi="ＭＳ ゴシック" w:eastAsia="ＭＳ ゴシック"/>
                <w:b w:val="0"/>
              </w:rPr>
              <w:t>認定権者記載欄</w:t>
            </w:r>
          </w:p>
        </w:tc>
      </w:tr>
      <w:tr>
        <w:trPr>
          <w:trHeight w:val="219"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6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様式第５－（ロ）－②</w:t>
      </w:r>
    </w:p>
    <w:tbl>
      <w:tblPr>
        <w:tblStyle w:val="11"/>
        <w:tblpPr w:leftFromText="0" w:rightFromText="0" w:topFromText="0" w:bottomFromText="0" w:vertAnchor="text" w:horzAnchor="margin" w:tblpX="209" w:tblpY="129"/>
        <w:tblOverlap w:val="neve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rHeight w:val="11246"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3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3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3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3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3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3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3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私は、表に記載する業を営んでいるが、下記のとおり、主要原材料である原油及び石油製品（以下</w:t>
            </w:r>
          </w:p>
          <w:p>
            <w:pPr>
              <w:pStyle w:val="0"/>
              <w:suppressAutoHyphens w:val="1"/>
              <w:kinsoku w:val="0"/>
              <w:overflowPunct w:val="0"/>
              <w:autoSpaceDE w:val="0"/>
              <w:autoSpaceDN w:val="0"/>
              <w:adjustRightInd w:val="0"/>
              <w:spacing w:line="23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23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w:t>
            </w:r>
          </w:p>
          <w:tbl>
            <w:tblPr>
              <w:tblStyle w:val="44"/>
              <w:tblW w:w="0" w:type="auto"/>
              <w:tblInd w:w="0" w:type="dxa"/>
              <w:tblLayout w:type="fixed"/>
              <w:tblLook w:firstRow="1" w:lastRow="0" w:firstColumn="1" w:lastColumn="0" w:noHBand="0" w:noVBand="1" w:val="04A0"/>
            </w:tblPr>
            <w:tblGrid>
              <w:gridCol w:w="3131"/>
              <w:gridCol w:w="3231"/>
              <w:gridCol w:w="3181"/>
            </w:tblGrid>
            <w:tr>
              <w:trPr/>
              <w:tc>
                <w:tcPr>
                  <w:tcW w:w="3131" w:type="dxa"/>
                  <w:tcBorders>
                    <w:top w:val="single" w:color="auto" w:sz="24" w:space="0"/>
                    <w:left w:val="single" w:color="auto" w:sz="24" w:space="0"/>
                    <w:bottom w:val="single" w:color="auto" w:sz="24" w:space="0"/>
                    <w:right w:val="single" w:color="auto" w:sz="24" w:space="0"/>
                    <w:tl2br w:val="nil"/>
                    <w:tr2bl w:val="nil"/>
                  </w:tcBorders>
                  <w:vAlign w:val="top"/>
                </w:tcPr>
                <w:p>
                  <w:pPr>
                    <w:pStyle w:val="0"/>
                    <w:tabs>
                      <w:tab w:val="left" w:leader="none" w:pos="3004"/>
                    </w:tabs>
                    <w:rPr>
                      <w:rFonts w:hint="eastAsia"/>
                    </w:rPr>
                  </w:pPr>
                  <w:r>
                    <w:rPr>
                      <w:rFonts w:hint="eastAsia"/>
                    </w:rPr>
                    <w:tab/>
                  </w:r>
                </w:p>
              </w:tc>
              <w:tc>
                <w:tcPr>
                  <w:tcW w:w="323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81" w:type="dxa"/>
                  <w:vAlign w:val="top"/>
                </w:tcPr>
                <w:p>
                  <w:pPr>
                    <w:pStyle w:val="0"/>
                    <w:rPr>
                      <w:rFonts w:hint="eastAsia"/>
                    </w:rPr>
                  </w:pPr>
                </w:p>
              </w:tc>
            </w:tr>
            <w:tr>
              <w:trPr/>
              <w:tc>
                <w:tcPr>
                  <w:tcW w:w="313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31" w:type="dxa"/>
                  <w:vAlign w:val="top"/>
                </w:tcPr>
                <w:p>
                  <w:pPr>
                    <w:pStyle w:val="0"/>
                    <w:rPr>
                      <w:rFonts w:hint="eastAsia"/>
                    </w:rPr>
                  </w:pPr>
                </w:p>
              </w:tc>
              <w:tc>
                <w:tcPr>
                  <w:tcW w:w="3181" w:type="dxa"/>
                  <w:vAlign w:val="top"/>
                </w:tcPr>
                <w:p>
                  <w:pPr>
                    <w:pStyle w:val="0"/>
                    <w:rPr>
                      <w:rFonts w:hint="eastAsia"/>
                    </w:rPr>
                  </w:pPr>
                </w:p>
              </w:tc>
            </w:tr>
          </w:tbl>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3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overflowPunct w:val="0"/>
              <w:autoSpaceDE w:val="0"/>
              <w:autoSpaceDN w:val="0"/>
              <w:adjustRightInd w:val="0"/>
              <w:spacing w:line="230" w:lineRule="exact"/>
              <w:ind w:firstLine="1050" w:firstLineChars="5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　　　　％</w:t>
            </w:r>
          </w:p>
          <w:p>
            <w:pPr>
              <w:pStyle w:val="0"/>
              <w:suppressAutoHyphens w:val="1"/>
              <w:kinsoku w:val="0"/>
              <w:overflowPunct w:val="0"/>
              <w:autoSpaceDE w:val="0"/>
              <w:autoSpaceDN w:val="0"/>
              <w:adjustRightInd w:val="0"/>
              <w:spacing w:line="230" w:lineRule="exact"/>
              <w:ind w:firstLine="1155" w:firstLineChars="5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Ｅ：原油等の最近１か月間における平均仕入単価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指定業種に係る平均仕入れ単価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Chars="0" w:firstLine="0" w:firstLineChars="0"/>
              <w:jc w:val="left"/>
              <w:textAlignment w:val="baseline"/>
              <w:rPr>
                <w:rFonts w:hint="default" w:ascii="ＭＳ ゴシック" w:hAnsi="ＭＳ ゴシック" w:eastAsia="ＭＳ ゴシック"/>
                <w:color w:val="000000"/>
                <w:spacing w:val="-20"/>
                <w:kern w:val="0"/>
                <w:u w:val="none" w:color="auto"/>
              </w:rPr>
            </w:pPr>
            <w:r>
              <w:rPr>
                <w:rFonts w:hint="eastAsia" w:ascii="ＭＳ ゴシック" w:hAnsi="ＭＳ ゴシック" w:eastAsia="ＭＳ ゴシック"/>
                <w:color w:val="000000"/>
                <w:spacing w:val="-20"/>
                <w:kern w:val="0"/>
              </w:rPr>
              <w:t>　　　　　（　　</w:t>
            </w:r>
            <w:r>
              <w:rPr>
                <w:rFonts w:hint="eastAsia" w:ascii="ＭＳ ゴシック" w:hAnsi="ＭＳ ゴシック" w:eastAsia="ＭＳ ゴシック"/>
                <w:color w:val="000000"/>
                <w:spacing w:val="-20"/>
                <w:kern w:val="0"/>
              </w:rPr>
              <w:t xml:space="preserve"> </w:t>
            </w:r>
            <w:r>
              <w:rPr>
                <w:rFonts w:hint="eastAsia" w:ascii="ＭＳ ゴシック" w:hAnsi="ＭＳ ゴシック" w:eastAsia="ＭＳ ゴシック"/>
                <w:color w:val="000000"/>
                <w:spacing w:val="-20"/>
                <w:kern w:val="0"/>
              </w:rPr>
              <w:t>　　　年　　　　月）</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ｅ：Ｅの期間に対応する前年１か月間の平均仕入単価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指定業種に係る平均仕入れ単価</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spacing w:val="-3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Chars="0" w:firstLineChars="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spacing w:val="-20"/>
                <w:kern w:val="0"/>
              </w:rPr>
              <w:t>（　　</w:t>
            </w:r>
            <w:r>
              <w:rPr>
                <w:rFonts w:hint="eastAsia" w:ascii="ＭＳ ゴシック" w:hAnsi="ＭＳ ゴシック" w:eastAsia="ＭＳ ゴシック"/>
                <w:color w:val="000000"/>
                <w:spacing w:val="-20"/>
                <w:kern w:val="0"/>
              </w:rPr>
              <w:t xml:space="preserve"> </w:t>
            </w:r>
            <w:r>
              <w:rPr>
                <w:rFonts w:hint="eastAsia" w:ascii="ＭＳ ゴシック" w:hAnsi="ＭＳ ゴシック" w:eastAsia="ＭＳ ゴシック"/>
                <w:color w:val="000000"/>
                <w:spacing w:val="-20"/>
                <w:kern w:val="0"/>
              </w:rPr>
              <w:t>　　　年　　　　月）</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overflowPunct w:val="0"/>
              <w:autoSpaceDE w:val="0"/>
              <w:autoSpaceDN w:val="0"/>
              <w:adjustRightInd w:val="0"/>
              <w:spacing w:line="230" w:lineRule="exact"/>
              <w:ind w:firstLine="1050" w:firstLineChars="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20"/>
                <w:kern w:val="0"/>
                <w:u w:val="single" w:color="auto"/>
              </w:rPr>
              <w:t>指定業種に係る依存率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w:t>
            </w:r>
          </w:p>
          <w:p>
            <w:pPr>
              <w:pStyle w:val="0"/>
              <w:suppressAutoHyphens w:val="1"/>
              <w:kinsoku w:val="0"/>
              <w:overflowPunct w:val="0"/>
              <w:autoSpaceDE w:val="0"/>
              <w:autoSpaceDN w:val="0"/>
              <w:adjustRightInd w:val="0"/>
              <w:spacing w:line="230" w:lineRule="exact"/>
              <w:ind w:firstLine="1155" w:firstLineChars="5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全体に係る依存率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30" w:lineRule="exact"/>
              <w:ind w:leftChars="0" w:firstLine="0" w:firstLineChars="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最近１か月間における全体の売り上げ原価に占める指定業種の売上原価の割合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Ｃ：最近１か月の売上原価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指定業種に係る売上原価　</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0" w:leftChars="0" w:firstLine="680" w:firstLineChars="400"/>
              <w:jc w:val="left"/>
              <w:textAlignment w:val="baseline"/>
              <w:rPr>
                <w:rFonts w:hint="default" w:ascii="ＭＳ ゴシック" w:hAnsi="ＭＳ ゴシック" w:eastAsia="ＭＳ ゴシック"/>
                <w:color w:val="000000"/>
                <w:spacing w:val="-20"/>
                <w:kern w:val="0"/>
                <w:u w:val="single" w:color="auto"/>
              </w:rPr>
            </w:pPr>
            <w:r>
              <w:rPr>
                <w:rFonts w:hint="eastAsia" w:ascii="ＭＳ ゴシック" w:hAnsi="ＭＳ ゴシック" w:eastAsia="ＭＳ ゴシック"/>
                <w:color w:val="000000"/>
                <w:spacing w:val="-20"/>
                <w:kern w:val="0"/>
              </w:rPr>
              <w:t>（　　　　　年　　　　月）</w:t>
            </w:r>
            <w:r>
              <w:rPr>
                <w:rFonts w:hint="eastAsia" w:ascii="ＭＳ ゴシック" w:hAnsi="ＭＳ ゴシック" w:eastAsia="ＭＳ ゴシック"/>
                <w:color w:val="000000"/>
                <w:spacing w:val="-20"/>
                <w:kern w:val="0"/>
              </w:rPr>
              <w:t xml:space="preserve">                                             </w:t>
            </w:r>
            <w:r>
              <w:rPr>
                <w:rFonts w:hint="eastAsia" w:ascii="ＭＳ ゴシック" w:hAnsi="ＭＳ ゴシック" w:eastAsia="ＭＳ ゴシック"/>
                <w:color w:val="000000"/>
                <w:kern w:val="0"/>
                <w:u w:val="single" w:color="auto"/>
              </w:rPr>
              <w:t>全体に係る売上原価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　　円</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Ｓ：Ｃの売上原価に対応する原油等の仕入額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firstLine="2876" w:firstLineChars="1692"/>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spacing w:val="-20"/>
                <w:kern w:val="0"/>
              </w:rPr>
              <w:t>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spacing w:val="-20"/>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ind w:firstLine="1050" w:firstLineChars="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ａ</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w:t>
            </w:r>
            <w:r>
              <w:rPr>
                <w:rFonts w:hint="eastAsia" w:ascii="ＭＳ ゴシック" w:hAnsi="ＭＳ ゴシック" w:eastAsia="ＭＳ ゴシック"/>
                <w:color w:val="000000"/>
                <w:kern w:val="0"/>
                <w:u w:val="single" w:color="auto"/>
              </w:rPr>
              <w:t>業種に係る転嫁の状況　</w:t>
            </w:r>
            <w:r>
              <w:rPr>
                <w:rFonts w:hint="eastAsia" w:ascii="ＭＳ ゴシック" w:hAnsi="ＭＳ ゴシック" w:eastAsia="ＭＳ ゴシック"/>
                <w:color w:val="000000"/>
                <w:kern w:val="0"/>
                <w:u w:val="single" w:color="auto"/>
              </w:rPr>
              <w:t>P</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30" w:lineRule="exact"/>
              <w:ind w:firstLine="1155" w:firstLineChars="5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＝Ｐ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w:t>
            </w:r>
            <w:bookmarkStart w:id="0" w:name="_GoBack"/>
            <w:bookmarkEnd w:id="0"/>
            <w:r>
              <w:rPr>
                <w:rFonts w:hint="eastAsia" w:ascii="ＭＳ ゴシック" w:hAnsi="ＭＳ ゴシック" w:eastAsia="ＭＳ ゴシック"/>
                <w:color w:val="000000"/>
                <w:kern w:val="0"/>
                <w:u w:val="single" w:color="auto"/>
              </w:rPr>
              <w:t>P</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spacing w:val="-20"/>
                <w:kern w:val="0"/>
                <w:u w:val="single" w:color="auto"/>
              </w:rPr>
            </w:pPr>
            <w:r>
              <w:rPr>
                <w:rFonts w:hint="eastAsia" w:ascii="ＭＳ ゴシック" w:hAnsi="ＭＳ ゴシック" w:eastAsia="ＭＳ ゴシック"/>
                <w:color w:val="000000"/>
                <w:kern w:val="0"/>
              </w:rPr>
              <w:t>　Ａ：最近３か月間の原油等の仕入額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指定業種に係る仕入れ額</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firstLine="840" w:firstLineChars="400"/>
              <w:jc w:val="left"/>
              <w:textAlignment w:val="baseline"/>
              <w:rPr>
                <w:rFonts w:hint="default" w:ascii="ＭＳ ゴシック" w:hAnsi="ＭＳ ゴシック" w:eastAsia="ＭＳ ゴシック"/>
                <w:color w:val="000000"/>
                <w:spacing w:val="-20"/>
                <w:kern w:val="0"/>
                <w:u w:val="single" w:color="auto"/>
              </w:rPr>
            </w:pPr>
            <w:r>
              <w:rPr>
                <w:rFonts w:hint="eastAsia" w:ascii="ＭＳ ゴシック" w:hAnsi="ＭＳ ゴシック" w:eastAsia="ＭＳ ゴシック"/>
                <w:color w:val="000000"/>
                <w:kern w:val="0"/>
                <w:u w:val="none" w:color="auto"/>
              </w:rPr>
              <w:t>（　　年　　月　～　　年　　月）　　　　　　　</w:t>
            </w:r>
            <w:r>
              <w:rPr>
                <w:rFonts w:hint="eastAsia"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　　円</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指定業種に係る仕入れ額</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0" w:leftChars="0" w:firstLine="840" w:firstLineChars="4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none" w:color="auto"/>
              </w:rPr>
              <w:t>（　　年　　月　～　　年　　月）　　　　　　　</w:t>
            </w:r>
            <w:r>
              <w:rPr>
                <w:rFonts w:hint="eastAsia"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Ｂ：最近３か月間の売上高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指定業種に係る仕入れ額</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0" w:leftChars="0" w:firstLine="840" w:firstLineChars="400"/>
              <w:jc w:val="left"/>
              <w:textAlignment w:val="baseline"/>
              <w:rPr>
                <w:rFonts w:hint="default" w:ascii="ＭＳ ゴシック" w:hAnsi="ＭＳ ゴシック" w:eastAsia="ＭＳ ゴシック"/>
                <w:color w:val="000000"/>
                <w:spacing w:val="-20"/>
                <w:kern w:val="0"/>
                <w:u w:val="single" w:color="auto"/>
              </w:rPr>
            </w:pPr>
            <w:r>
              <w:rPr>
                <w:rFonts w:hint="eastAsia" w:ascii="ＭＳ ゴシック" w:hAnsi="ＭＳ ゴシック" w:eastAsia="ＭＳ ゴシック"/>
                <w:color w:val="000000"/>
                <w:kern w:val="0"/>
                <w:u w:val="none" w:color="auto"/>
              </w:rPr>
              <w:t>（　　年　　月　～　　年　　月）</w:t>
            </w:r>
            <w:r>
              <w:rPr>
                <w:rFonts w:hint="eastAsia"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円</w:t>
            </w:r>
          </w:p>
          <w:p>
            <w:pPr>
              <w:pStyle w:val="0"/>
              <w:suppressAutoHyphens w:val="1"/>
              <w:kinsoku w:val="0"/>
              <w:overflowPunct w:val="0"/>
              <w:autoSpaceDE w:val="0"/>
              <w:autoSpaceDN w:val="0"/>
              <w:adjustRightInd w:val="0"/>
              <w:spacing w:line="23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ｂ：Ｂの期間に対応する前年３か月間の売上高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指定業種に係る仕入れ額</w:t>
            </w:r>
            <w:r>
              <w:rPr>
                <w:rFonts w:hint="eastAsia" w:ascii="ＭＳ ゴシック" w:hAnsi="ＭＳ ゴシック" w:eastAsia="ＭＳ ゴシック"/>
                <w:color w:val="000000"/>
                <w:spacing w:val="-30"/>
                <w:kern w:val="0"/>
                <w:u w:val="single" w:color="auto"/>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30" w:lineRule="exact"/>
              <w:ind w:left="0" w:leftChars="0" w:firstLine="840" w:firstLineChars="4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none" w:color="auto"/>
              </w:rPr>
              <w:t>（　　年　　月　～　　年　　月）</w:t>
            </w:r>
            <w:r>
              <w:rPr>
                <w:rFonts w:hint="eastAsia"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　　</w:t>
            </w:r>
            <w:r>
              <w:rPr>
                <w:rFonts w:hint="eastAsia" w:ascii="ＭＳ ゴシック" w:hAnsi="ＭＳ ゴシック" w:eastAsia="ＭＳ ゴシック"/>
                <w:color w:val="000000"/>
                <w:spacing w:val="-20"/>
                <w:kern w:val="0"/>
                <w:u w:val="single" w:color="auto"/>
              </w:rPr>
              <w:t xml:space="preserve">  </w:t>
            </w:r>
            <w:r>
              <w:rPr>
                <w:rFonts w:hint="eastAsia" w:ascii="ＭＳ ゴシック" w:hAnsi="ＭＳ ゴシック" w:eastAsia="ＭＳ ゴシック"/>
                <w:color w:val="000000"/>
                <w:spacing w:val="-20"/>
                <w:kern w:val="0"/>
                <w:u w:val="single" w:color="auto"/>
              </w:rPr>
              <w:t>円</w:t>
            </w:r>
          </w:p>
        </w:tc>
      </w:tr>
    </w:tbl>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none" w:color="auto"/>
        </w:rPr>
        <w:t>上昇率、依存率及び最近１か月における全体の売上原価に占める指定業種の売上原価の割合が２０％以上となっていること。</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30" w:lineRule="exact"/>
        <w:ind w:left="420" w:hanging="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w:t>
      </w:r>
    </w:p>
    <w:p>
      <w:pPr>
        <w:pStyle w:val="0"/>
        <w:suppressAutoHyphens w:val="1"/>
        <w:spacing w:line="230" w:lineRule="exact"/>
        <w:ind w:left="210" w:leftChars="10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て、保証の申込みを行うことが必要です。</w:t>
      </w:r>
    </w:p>
    <w:p>
      <w:pPr>
        <w:pStyle w:val="0"/>
        <w:spacing w:line="230" w:lineRule="exact"/>
        <w:rPr>
          <w:rFonts w:hint="default" w:ascii="ＭＳ ゴシック" w:hAnsi="ＭＳ ゴシック" w:eastAsia="ＭＳ ゴシック"/>
        </w:rPr>
      </w:pPr>
    </w:p>
    <w:p>
      <w:pPr>
        <w:pStyle w:val="0"/>
        <w:spacing w:line="14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140" w:lineRule="exact"/>
        <w:rPr>
          <w:rFonts w:hint="default" w:ascii="ＭＳ ゴシック" w:hAnsi="ＭＳ ゴシック" w:eastAsia="ＭＳ ゴシック"/>
        </w:rPr>
      </w:pPr>
    </w:p>
    <w:p>
      <w:pPr>
        <w:pStyle w:val="0"/>
        <w:spacing w:line="140" w:lineRule="exact"/>
        <w:ind w:firstLine="840" w:firstLineChars="4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pacing w:line="140" w:lineRule="exact"/>
        <w:ind w:firstLine="420" w:firstLineChars="200"/>
        <w:rPr>
          <w:rFonts w:hint="default" w:ascii="ＭＳ ゴシック" w:hAnsi="ＭＳ ゴシック" w:eastAsia="ＭＳ ゴシック"/>
        </w:rPr>
      </w:pPr>
    </w:p>
    <w:p>
      <w:pPr>
        <w:pStyle w:val="0"/>
        <w:spacing w:line="14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140" w:lineRule="exact"/>
        <w:rPr>
          <w:rFonts w:hint="default" w:ascii="ＭＳ ゴシック" w:hAnsi="ＭＳ ゴシック" w:eastAsia="ＭＳ ゴシック"/>
        </w:rPr>
      </w:pPr>
    </w:p>
    <w:p>
      <w:pPr>
        <w:pStyle w:val="0"/>
        <w:spacing w:line="140" w:lineRule="exact"/>
        <w:rPr>
          <w:rFonts w:hint="default" w:ascii="ＭＳ ゴシック" w:hAnsi="ＭＳ ゴシック" w:eastAsia="ＭＳ ゴシック"/>
        </w:rPr>
      </w:pPr>
      <w:r>
        <w:rPr>
          <w:rFonts w:hint="eastAsia" w:ascii="ＭＳ ゴシック" w:hAnsi="ＭＳ ゴシック" w:eastAsia="ＭＳ ゴシック"/>
        </w:rPr>
        <w:t>（注）本認定書の有効期間：　　　　年　　月　　日から　　　　年　　月　　日まで</w:t>
      </w:r>
    </w:p>
    <w:p>
      <w:pPr>
        <w:pStyle w:val="0"/>
        <w:spacing w:line="140" w:lineRule="exact"/>
        <w:ind w:firstLine="1046" w:firstLineChars="498"/>
        <w:rPr>
          <w:rFonts w:hint="default" w:ascii="ＭＳ ゴシック" w:hAnsi="ＭＳ ゴシック" w:eastAsia="ＭＳ ゴシック"/>
        </w:rPr>
      </w:pPr>
    </w:p>
    <w:p>
      <w:pPr>
        <w:pStyle w:val="0"/>
        <w:spacing w:line="140" w:lineRule="exact"/>
        <w:ind w:right="989" w:rightChars="471" w:firstLine="1046" w:firstLineChars="498"/>
        <w:jc w:val="right"/>
        <w:rPr>
          <w:rFonts w:hint="default" w:ascii="ＭＳ ゴシック" w:hAnsi="ＭＳ ゴシック" w:eastAsia="ＭＳ ゴシック"/>
        </w:rPr>
      </w:pPr>
      <w:r>
        <w:rPr>
          <w:rFonts w:hint="eastAsia" w:ascii="ＭＳ ゴシック" w:hAnsi="ＭＳ ゴシック" w:eastAsia="ＭＳ ゴシック"/>
        </w:rPr>
        <w:t>勝山市長　　水上実喜夫　　　</w:t>
      </w:r>
    </w:p>
    <w:p>
      <w:pPr>
        <w:pStyle w:val="0"/>
        <w:spacing w:line="240" w:lineRule="atLeast"/>
        <w:ind w:leftChars="0" w:rightChars="0" w:firstLineChars="0"/>
        <w:jc w:val="both"/>
        <w:rPr>
          <w:rFonts w:hint="default" w:ascii="ＭＳ ゴシック" w:hAnsi="ＭＳ ゴシック" w:eastAsia="ＭＳ ゴシック"/>
        </w:rPr>
      </w:pPr>
    </w:p>
    <w:p>
      <w:pPr>
        <w:pStyle w:val="0"/>
        <w:widowControl w:val="1"/>
        <w:spacing w:line="300" w:lineRule="exact"/>
        <w:ind w:left="622" w:hanging="622" w:hangingChars="257"/>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（申請書ロ－②の添付書類）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2"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2"/>
        </w:rPr>
        <w:t>（表２：最近１か月間における企業全体の売上原価に占める指定業種の売り上げ原価の割合）</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819"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819"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819" w:type="dxa"/>
            <w:vAlign w:val="top"/>
          </w:tcPr>
          <w:p>
            <w:pPr>
              <w:pStyle w:val="0"/>
              <w:rPr>
                <w:rFonts w:hint="eastAsia" w:ascii="ＭＳ 明朝" w:hAnsi="ＭＳ 明朝" w:eastAsia="ＭＳ 明朝"/>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819" w:type="dxa"/>
            <w:vAlign w:val="top"/>
          </w:tcPr>
          <w:p>
            <w:pPr>
              <w:pStyle w:val="0"/>
              <w:jc w:val="right"/>
              <w:rPr>
                <w:rFonts w:hint="eastAsia" w:ascii="ＭＳ 明朝" w:hAnsi="ＭＳ 明朝" w:eastAsia="ＭＳ 明朝"/>
              </w:rPr>
            </w:pPr>
            <w:r>
              <w:rPr>
                <w:rFonts w:hint="eastAsia" w:ascii="ＭＳ ゴシック" w:hAnsi="ＭＳ ゴシック" w:eastAsia="ＭＳ ゴシック"/>
              </w:rPr>
              <w:t>％</w:t>
            </w:r>
          </w:p>
        </w:tc>
      </w:tr>
    </w:tbl>
    <w:p>
      <w:pPr>
        <w:pStyle w:val="0"/>
        <w:widowControl w:val="1"/>
        <w:ind w:left="707" w:hanging="707" w:hangingChars="292"/>
        <w:jc w:val="left"/>
        <w:rPr>
          <w:rFonts w:hint="default" w:ascii="ＭＳ ゴシック" w:hAnsi="ＭＳ ゴシック" w:eastAsia="ＭＳ ゴシック"/>
          <w:sz w:val="24"/>
        </w:rPr>
      </w:pP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color w:val="auto"/>
          <w:sz w:val="24"/>
        </w:rPr>
        <w:t>（表３：指定業種に係る原油等の最近</w:t>
      </w:r>
      <w:r>
        <w:rPr>
          <w:rFonts w:hint="eastAsia" w:ascii="ＭＳ ゴシック" w:hAnsi="ＭＳ ゴシック" w:eastAsia="ＭＳ ゴシック"/>
          <w:color w:val="auto"/>
          <w:sz w:val="24"/>
        </w:rPr>
        <w:t>1</w:t>
      </w:r>
      <w:r>
        <w:rPr>
          <w:rFonts w:hint="eastAsia" w:ascii="ＭＳ ゴシック" w:hAnsi="ＭＳ ゴシック" w:eastAsia="ＭＳ ゴシック"/>
          <w:color w:val="auto"/>
          <w:sz w:val="24"/>
        </w:rPr>
        <w:t>か月の仕入単価の上昇）</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7"/>
        <w:gridCol w:w="2463"/>
        <w:gridCol w:w="2463"/>
        <w:gridCol w:w="2463"/>
      </w:tblGrid>
      <w:tr>
        <w:trPr/>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原油等の最近１か月の平均仕入単価</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76" w:rightChars="-83"/>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76" w:rightChars="-83"/>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5" w:beforeLines="50" w:beforeAutospacing="0" w:line="160" w:lineRule="exact"/>
        <w:jc w:val="left"/>
        <w:rPr>
          <w:rFonts w:hint="default" w:ascii="ＭＳ ゴシック" w:hAnsi="ＭＳ ゴシック" w:eastAsia="ＭＳ ゴシック"/>
          <w:sz w:val="24"/>
        </w:rPr>
      </w:pPr>
      <w:r>
        <w:rPr>
          <w:rFonts w:hint="eastAsia" w:ascii="ＭＳ ゴシック" w:hAnsi="ＭＳ ゴシック" w:eastAsia="ＭＳ ゴシック"/>
          <w:sz w:val="24"/>
        </w:rPr>
        <w:t>（表４：指定業種及び企業全体それぞれの売上原価に占める原油等の仕入価格の割合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62"/>
        <w:gridCol w:w="2260"/>
        <w:gridCol w:w="2766"/>
        <w:gridCol w:w="2698"/>
      </w:tblGrid>
      <w:tr>
        <w:trPr>
          <w:trHeight w:val="1147" w:hRule="atLeast"/>
        </w:trPr>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p>
        </w:tc>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最近</w:t>
            </w:r>
            <w:r>
              <w:rPr>
                <w:rFonts w:hint="eastAsia" w:ascii="ＭＳ ゴシック" w:hAnsi="ＭＳ ゴシック" w:eastAsia="ＭＳ ゴシック"/>
                <w:sz w:val="24"/>
              </w:rPr>
              <w:t>1</w:t>
            </w:r>
            <w:r>
              <w:rPr>
                <w:rFonts w:hint="eastAsia" w:ascii="ＭＳ ゴシック" w:hAnsi="ＭＳ ゴシック" w:eastAsia="ＭＳ ゴシック"/>
                <w:sz w:val="24"/>
              </w:rPr>
              <w:t>か月間の売上原価に対応する原油等の仕入価格</w:t>
            </w:r>
          </w:p>
        </w:tc>
        <w:tc>
          <w:tcPr>
            <w:tcW w:w="2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6" w:rightChars="-69"/>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before="175" w:beforeLines="50" w:beforeAutospacing="0" w:line="160" w:lineRule="exac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10"/>
        <w:gridCol w:w="1461"/>
        <w:gridCol w:w="1593"/>
        <w:gridCol w:w="1068"/>
        <w:gridCol w:w="1331"/>
        <w:gridCol w:w="1461"/>
        <w:gridCol w:w="937"/>
        <w:gridCol w:w="919"/>
      </w:tblGrid>
      <w:tr>
        <w:trPr/>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r>
        <w:trPr/>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9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suppressAutoHyphens w:val="1"/>
        <w:kinsoku w:val="0"/>
        <w:wordWrap w:val="0"/>
        <w:autoSpaceDE w:val="0"/>
        <w:autoSpaceDN w:val="0"/>
        <w:spacing w:line="200" w:lineRule="exact"/>
        <w:ind w:left="707" w:hanging="707" w:hangingChars="292"/>
        <w:jc w:val="left"/>
        <w:rPr>
          <w:rFonts w:hint="default" w:ascii="ＭＳ ゴシック" w:hAnsi="ＭＳ ゴシック" w:eastAsia="ＭＳ ゴシック"/>
          <w:sz w:val="24"/>
        </w:rPr>
      </w:pPr>
    </w:p>
    <w:p>
      <w:pPr>
        <w:pStyle w:val="0"/>
        <w:widowControl w:val="1"/>
        <w:spacing w:line="300" w:lineRule="exact"/>
        <w:ind w:left="707" w:hanging="707" w:hangingChars="292"/>
        <w:jc w:val="left"/>
        <w:rPr>
          <w:rFonts w:hint="default" w:ascii="ＭＳ ゴシック" w:hAnsi="ＭＳ ゴシック" w:eastAsia="ＭＳ ゴシック"/>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pgSz w:w="11906" w:h="16838"/>
      <w:pgMar w:top="340" w:right="1134" w:bottom="34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TIXSizeTwoSym">
    <w:panose1 w:val="00000000000000000000"/>
    <w:charset w:val="80"/>
    <w:family w:val="auto"/>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STIXSizeFourSym">
    <w:panose1 w:val="00000000000000000000"/>
    <w:charset w:val="80"/>
    <w:family w:val="auto"/>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36</Words>
  <Characters>1856</Characters>
  <Application>JUST Note</Application>
  <Lines>188</Lines>
  <Paragraphs>131</Paragraphs>
  <Company>経済産業省</Company>
  <CharactersWithSpaces>2573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2013-09-25T04:26:00Z</dcterms:created>
  <dcterms:modified xsi:type="dcterms:W3CDTF">2024-11-25T08:25:02Z</dcterms:modified>
  <cp:revision>4</cp:revision>
</cp:coreProperties>
</file>