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可搬式小型動力ポンプ一式（</w:t>
            </w:r>
            <w:r>
              <w:rPr>
                <w:rFonts w:hint="eastAsia" w:ascii="ＭＳ 明朝" w:hAnsi="ＭＳ 明朝" w:eastAsia="ＭＳ 明朝"/>
                <w:sz w:val="22"/>
              </w:rPr>
              <w:t>C-1</w:t>
            </w:r>
            <w:r>
              <w:rPr>
                <w:rFonts w:hint="eastAsia" w:ascii="ＭＳ 明朝" w:hAnsi="ＭＳ 明朝" w:eastAsia="ＭＳ 明朝"/>
                <w:sz w:val="22"/>
              </w:rPr>
              <w:t>級）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2024-06-12T05:10:47Z</dcterms:modified>
  <cp:revision>0</cp:revision>
</cp:coreProperties>
</file>