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132" w:hRule="atLeast"/>
        </w:trPr>
        <w:tc>
          <w:tcPr>
            <w:tcW w:w="1003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362"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r>
      <w:tr>
        <w:trPr>
          <w:trHeight w:val="362"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c>
          <w:tcPr>
            <w:tcW w:w="33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r>
    </w:tbl>
    <w:p>
      <w:pPr>
        <w:pStyle w:val="0"/>
        <w:suppressAutoHyphens w:val="1"/>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中小企業信用保険法第２条第５項第５号の規定による認定申請書（ロ－①）</w:t>
            </w:r>
          </w:p>
          <w:p>
            <w:pPr>
              <w:pStyle w:val="0"/>
              <w:suppressAutoHyphens w:val="1"/>
              <w:kinsoku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20" w:lineRule="exact"/>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　　　　　</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勝山市長　殿</w:t>
            </w:r>
          </w:p>
          <w:p>
            <w:pPr>
              <w:pStyle w:val="0"/>
              <w:suppressAutoHyphens w:val="1"/>
              <w:kinsoku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ind w:left="5050" w:leftChars="24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overflowPunct w:val="0"/>
              <w:autoSpaceDE w:val="0"/>
              <w:autoSpaceDN w:val="0"/>
              <w:adjustRightInd w:val="0"/>
              <w:spacing w:line="220" w:lineRule="exact"/>
              <w:ind w:left="5050" w:leftChars="2405"/>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100" w:lineRule="exact"/>
              <w:ind w:left="5050" w:leftChars="2405"/>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ind w:left="5050" w:leftChars="24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氏　名　　　　　　　　　　　　　　　　印</w:t>
            </w:r>
          </w:p>
          <w:p>
            <w:pPr>
              <w:pStyle w:val="0"/>
              <w:suppressAutoHyphens w:val="1"/>
              <w:kinsoku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39"/>
              <w:spacing w:line="220" w:lineRule="exact"/>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center"/>
                    <w:textAlignment w:val="baseline"/>
                    <w:rPr>
                      <w:rFonts w:hint="default" w:ascii="ＭＳ ゴシック" w:hAnsi="ＭＳ ゴシック" w:eastAsia="ＭＳ ゴシック"/>
                      <w:color w:val="000000"/>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tc>
            </w:tr>
          </w:tbl>
          <w:p>
            <w:pPr>
              <w:pStyle w:val="0"/>
              <w:suppressAutoHyphens w:val="1"/>
              <w:kinsoku w:val="0"/>
              <w:overflowPunct w:val="0"/>
              <w:autoSpaceDE w:val="0"/>
              <w:autoSpaceDN w:val="0"/>
              <w:adjustRightInd w:val="0"/>
              <w:spacing w:line="220" w:lineRule="exact"/>
              <w:ind w:firstLine="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①原油等の仕入単価の上昇（注２）</w:t>
            </w: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20" w:lineRule="exact"/>
              <w:ind w:left="1151" w:leftChars="5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上昇率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Ｅ：原油等の最近１か月間における平均仕入れ単価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（注４）</w:t>
            </w:r>
          </w:p>
          <w:p>
            <w:pPr>
              <w:pStyle w:val="0"/>
              <w:suppressAutoHyphens w:val="1"/>
              <w:kinsoku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ｅ：Ｅの期間に対応する前年１か月間平均仕入単価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（注４）</w:t>
            </w:r>
          </w:p>
          <w:p>
            <w:pPr>
              <w:pStyle w:val="0"/>
              <w:suppressAutoHyphens w:val="1"/>
              <w:kinsoku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kern w:val="0"/>
                <w:u w:val="single" w:color="auto"/>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②原油等が売上原価に占める割合（注２）</w:t>
            </w: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20" w:lineRule="exact"/>
              <w:ind w:left="1151" w:leftChars="5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依存率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Ｃ：申込時点における最新の売上原価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（注４）</w:t>
            </w:r>
          </w:p>
          <w:p>
            <w:pPr>
              <w:pStyle w:val="0"/>
              <w:suppressAutoHyphens w:val="1"/>
              <w:kinsoku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Ｓ：Ｃの売上原価に対応する原油等の仕入価格</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（注４）</w:t>
            </w:r>
          </w:p>
          <w:p>
            <w:pPr>
              <w:pStyle w:val="0"/>
              <w:suppressAutoHyphens w:val="1"/>
              <w:kinsoku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③製品等価格への転嫁の状況（注２）</w:t>
            </w: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ａ</w:t>
            </w:r>
            <w:r>
              <w:rPr>
                <w:rFonts w:hint="eastAsia" w:ascii="ＭＳ ゴシック" w:hAnsi="ＭＳ ゴシック" w:eastAsia="ＭＳ ゴシック"/>
                <w:color w:val="000000"/>
                <w:kern w:val="0"/>
                <w:u w:val="single" w:color="auto"/>
              </w:rPr>
              <w:t xml:space="preserve"> </w:t>
            </w:r>
          </w:p>
          <w:p>
            <w:pPr>
              <w:pStyle w:val="0"/>
              <w:suppressAutoHyphens w:val="1"/>
              <w:kinsoku w:val="0"/>
              <w:overflowPunct w:val="0"/>
              <w:autoSpaceDE w:val="0"/>
              <w:autoSpaceDN w:val="0"/>
              <w:adjustRightInd w:val="0"/>
              <w:spacing w:line="220" w:lineRule="exact"/>
              <w:ind w:left="1151" w:leftChars="5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　　　　　　　　</w:t>
            </w:r>
          </w:p>
          <w:p>
            <w:pPr>
              <w:pStyle w:val="0"/>
              <w:suppressAutoHyphens w:val="1"/>
              <w:kinsoku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Ａ：申込時点における最近３か月間の原油等の仕入価格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（注４）</w:t>
            </w:r>
          </w:p>
          <w:p>
            <w:pPr>
              <w:pStyle w:val="0"/>
              <w:suppressAutoHyphens w:val="1"/>
              <w:kinsoku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（注４）</w:t>
            </w:r>
          </w:p>
          <w:p>
            <w:pPr>
              <w:pStyle w:val="0"/>
              <w:suppressAutoHyphens w:val="1"/>
              <w:kinsoku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Ｂ：申込時点における最近３か月間の売上高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（注４）</w:t>
            </w:r>
          </w:p>
          <w:p>
            <w:pPr>
              <w:pStyle w:val="0"/>
              <w:suppressAutoHyphens w:val="1"/>
              <w:kinsoku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ｂ：Ｂの期間に対応する前年３か月間の売上高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（注４）</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spacing w:line="23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（注２）上昇率及び依存率が２０％以上となっていること。</w:t>
      </w:r>
    </w:p>
    <w:p>
      <w:pPr>
        <w:pStyle w:val="0"/>
        <w:suppressAutoHyphens w:val="1"/>
        <w:spacing w:line="230" w:lineRule="exact"/>
        <w:ind w:left="738" w:hanging="73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（注３）Ｐ＞０となっていること。</w:t>
      </w:r>
    </w:p>
    <w:p>
      <w:pPr>
        <w:pStyle w:val="0"/>
        <w:suppressAutoHyphens w:val="1"/>
        <w:spacing w:line="22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（注４）申請者全体の値を記載。</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20" w:hanging="42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100" w:lineRule="exact"/>
        <w:ind w:left="281" w:right="958" w:hanging="281" w:hangingChars="117"/>
        <w:rPr>
          <w:rFonts w:hint="default" w:ascii="ＭＳ ゴシック" w:hAnsi="ＭＳ ゴシック" w:eastAsia="ＭＳ ゴシック"/>
          <w:sz w:val="24"/>
        </w:rPr>
      </w:pPr>
    </w:p>
    <w:p>
      <w:pPr>
        <w:pStyle w:val="0"/>
        <w:spacing w:line="220" w:lineRule="exact"/>
        <w:rPr>
          <w:rFonts w:hint="default" w:ascii="ＭＳ ゴシック" w:hAnsi="ＭＳ ゴシック" w:eastAsia="ＭＳ ゴシック"/>
        </w:rPr>
      </w:pPr>
      <w:r>
        <w:rPr>
          <w:rFonts w:hint="eastAsia" w:ascii="ＭＳ ゴシック" w:hAnsi="ＭＳ ゴシック" w:eastAsia="ＭＳ ゴシック"/>
        </w:rPr>
        <w:t>認定番号　勝商文</w:t>
      </w:r>
      <w:bookmarkStart w:id="0" w:name="_GoBack"/>
      <w:bookmarkEnd w:id="0"/>
      <w:r>
        <w:rPr>
          <w:rFonts w:hint="eastAsia" w:ascii="ＭＳ ゴシック" w:hAnsi="ＭＳ ゴシック" w:eastAsia="ＭＳ ゴシック"/>
        </w:rPr>
        <w:t>発第　　　　号</w:t>
      </w:r>
    </w:p>
    <w:p>
      <w:pPr>
        <w:pStyle w:val="0"/>
        <w:spacing w:line="100" w:lineRule="exact"/>
        <w:rPr>
          <w:rFonts w:hint="default" w:ascii="ＭＳ ゴシック" w:hAnsi="ＭＳ ゴシック" w:eastAsia="ＭＳ ゴシック"/>
        </w:rPr>
      </w:pPr>
    </w:p>
    <w:p>
      <w:pPr>
        <w:pStyle w:val="0"/>
        <w:spacing w:line="220" w:lineRule="exact"/>
        <w:ind w:firstLine="630" w:firstLineChars="300"/>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spacing w:line="100" w:lineRule="exact"/>
        <w:ind w:firstLine="420" w:firstLineChars="200"/>
        <w:rPr>
          <w:rFonts w:hint="default" w:ascii="ＭＳ ゴシック" w:hAnsi="ＭＳ ゴシック" w:eastAsia="ＭＳ ゴシック"/>
        </w:rPr>
      </w:pPr>
    </w:p>
    <w:p>
      <w:pPr>
        <w:pStyle w:val="0"/>
        <w:spacing w:line="220" w:lineRule="exact"/>
        <w:ind w:firstLine="630" w:firstLineChars="300"/>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spacing w:line="100" w:lineRule="exact"/>
        <w:rPr>
          <w:rFonts w:hint="default" w:ascii="ＭＳ ゴシック" w:hAnsi="ＭＳ ゴシック" w:eastAsia="ＭＳ ゴシック"/>
        </w:rPr>
      </w:pPr>
    </w:p>
    <w:p>
      <w:pPr>
        <w:pStyle w:val="0"/>
        <w:spacing w:line="220" w:lineRule="exact"/>
        <w:rPr>
          <w:rFonts w:hint="default" w:ascii="ＭＳ ゴシック" w:hAnsi="ＭＳ ゴシック" w:eastAsia="ＭＳ ゴシック"/>
        </w:rPr>
      </w:pPr>
      <w:r>
        <w:rPr>
          <w:rFonts w:hint="eastAsia" w:ascii="ＭＳ ゴシック" w:hAnsi="ＭＳ ゴシック" w:eastAsia="ＭＳ ゴシック"/>
        </w:rPr>
        <w:t>（注）本認定書の有効期間：　　　　年　　月　　日から　　　　　年　　月　　日まで</w:t>
      </w:r>
    </w:p>
    <w:p>
      <w:pPr>
        <w:pStyle w:val="0"/>
        <w:spacing w:line="100" w:lineRule="exact"/>
        <w:ind w:firstLine="1046" w:firstLineChars="498"/>
        <w:rPr>
          <w:rFonts w:hint="default" w:ascii="ＭＳ ゴシック" w:hAnsi="ＭＳ ゴシック" w:eastAsia="ＭＳ ゴシック"/>
        </w:rPr>
      </w:pPr>
    </w:p>
    <w:p>
      <w:pPr>
        <w:pStyle w:val="0"/>
        <w:spacing w:line="220" w:lineRule="exact"/>
        <w:ind w:right="460" w:rightChars="219" w:firstLine="1046" w:firstLineChars="498"/>
        <w:jc w:val="right"/>
        <w:rPr>
          <w:rFonts w:hint="default" w:ascii="ＭＳ ゴシック" w:hAnsi="ＭＳ ゴシック" w:eastAsia="ＭＳ ゴシック"/>
        </w:rPr>
      </w:pPr>
      <w:r>
        <w:rPr>
          <w:rFonts w:hint="eastAsia" w:ascii="ＭＳ ゴシック" w:hAnsi="ＭＳ ゴシック" w:eastAsia="ＭＳ ゴシック"/>
        </w:rPr>
        <w:t>勝山市長　　水上実喜夫</w:t>
      </w:r>
    </w:p>
    <w:p>
      <w:pPr>
        <w:pStyle w:val="0"/>
        <w:spacing w:line="220" w:lineRule="exact"/>
        <w:ind w:leftChars="0" w:rightChars="0" w:firstLineChars="0"/>
        <w:jc w:val="both"/>
        <w:rPr>
          <w:rFonts w:hint="default" w:ascii="ＭＳ ゴシック" w:hAnsi="ＭＳ ゴシック" w:eastAsia="ＭＳ ゴシック"/>
        </w:rPr>
      </w:pPr>
    </w:p>
    <w:p>
      <w:pPr>
        <w:pStyle w:val="0"/>
        <w:widowControl w:val="1"/>
        <w:spacing w:line="300" w:lineRule="exact"/>
        <w:ind w:left="622" w:hanging="622" w:hangingChars="257"/>
        <w:jc w:val="righ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（申請書ロ－①の添付書類）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申請者名：　　　　　　　　　　</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（表１：事業が属する業種毎の最近１年間の売上高）</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56"/>
        <w:gridCol w:w="3256"/>
        <w:gridCol w:w="3256"/>
      </w:tblGrid>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業種（※１）（※２）</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最近の売上高</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構成比</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全体の売上高</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bl>
    <w:p>
      <w:pPr>
        <w:pStyle w:val="0"/>
        <w:widowControl w:val="1"/>
        <w:ind w:left="707" w:hanging="707" w:hangingChars="292"/>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sz w:val="24"/>
        </w:rPr>
        <w:t>※１：業種欄には、営んでいる全ての事業が属する業種（</w:t>
      </w:r>
      <w:r>
        <w:rPr>
          <w:rFonts w:hint="eastAsia" w:ascii="ＭＳ ゴシック" w:hAnsi="ＭＳ ゴシック" w:eastAsia="ＭＳ ゴシック"/>
          <w:color w:val="000000"/>
          <w:spacing w:val="16"/>
          <w:kern w:val="0"/>
          <w:sz w:val="24"/>
        </w:rPr>
        <w:t>日本標準産業分類の細分類番号と細分類業種名）を記載。細分類業種は全て指定業種に該当することが必要。</w:t>
      </w:r>
    </w:p>
    <w:p>
      <w:pPr>
        <w:pStyle w:val="0"/>
        <w:widowControl w:val="1"/>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color w:val="000000"/>
          <w:spacing w:val="16"/>
          <w:kern w:val="0"/>
          <w:sz w:val="24"/>
        </w:rPr>
        <w:t>※２：指定業種の売上高を合算して記載することも可</w:t>
      </w:r>
    </w:p>
    <w:p>
      <w:pPr>
        <w:pStyle w:val="0"/>
        <w:suppressAutoHyphens w:val="1"/>
        <w:kinsoku w:val="0"/>
        <w:wordWrap w:val="0"/>
        <w:autoSpaceDE w:val="0"/>
        <w:autoSpaceDN w:val="0"/>
        <w:spacing w:before="175" w:beforeLines="50" w:beforeAutospacing="0"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（表２：企業全体に係る原油等の仕入単価の上昇）</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97"/>
        <w:gridCol w:w="2463"/>
        <w:gridCol w:w="2463"/>
        <w:gridCol w:w="2463"/>
      </w:tblGrid>
      <w:tr>
        <w:trPr/>
        <w:tc>
          <w:tcPr>
            <w:tcW w:w="23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4"/>
              </w:rPr>
            </w:pP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原油等の最近１か月の平均仕入単価</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原油等の前年同月の平均仕入単価</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原油等の仕入単価の上昇率</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E/</w:t>
            </w:r>
            <w:r>
              <w:rPr>
                <w:rFonts w:hint="eastAsia" w:ascii="ＭＳ ゴシック" w:hAnsi="ＭＳ ゴシック" w:eastAsia="ＭＳ ゴシック"/>
                <w:sz w:val="24"/>
              </w:rPr>
              <w:t>ｅ×</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r>
        <w:trPr/>
        <w:tc>
          <w:tcPr>
            <w:tcW w:w="23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企業全体</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176" w:rightChars="-83"/>
              <w:jc w:val="right"/>
              <w:rPr>
                <w:rFonts w:hint="default" w:ascii="ＭＳ ゴシック" w:hAnsi="ＭＳ ゴシック" w:eastAsia="ＭＳ ゴシック"/>
                <w:sz w:val="24"/>
              </w:rPr>
            </w:pPr>
            <w:r>
              <w:rPr>
                <w:rFonts w:hint="eastAsia" w:ascii="ＭＳ ゴシック" w:hAnsi="ＭＳ ゴシック" w:eastAsia="ＭＳ ゴシック"/>
                <w:sz w:val="24"/>
              </w:rPr>
              <w:t>円【Ｅ】</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176" w:rightChars="-83"/>
              <w:jc w:val="right"/>
              <w:rPr>
                <w:rFonts w:hint="default" w:ascii="ＭＳ ゴシック" w:hAnsi="ＭＳ ゴシック" w:eastAsia="ＭＳ ゴシック"/>
                <w:sz w:val="24"/>
              </w:rPr>
            </w:pPr>
            <w:r>
              <w:rPr>
                <w:rFonts w:hint="eastAsia" w:ascii="ＭＳ ゴシック" w:hAnsi="ＭＳ ゴシック" w:eastAsia="ＭＳ ゴシック"/>
                <w:sz w:val="24"/>
              </w:rPr>
              <w:t>円【ｅ】</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bl>
    <w:p>
      <w:pPr>
        <w:pStyle w:val="0"/>
        <w:suppressAutoHyphens w:val="1"/>
        <w:kinsoku w:val="0"/>
        <w:wordWrap w:val="0"/>
        <w:autoSpaceDE w:val="0"/>
        <w:autoSpaceDN w:val="0"/>
        <w:spacing w:before="175" w:beforeLines="50" w:beforeAutospacing="0"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（表３：企業全体の売上原価に占める原油等の仕入価格の割合</w:t>
      </w:r>
      <w:r>
        <w:rPr>
          <w:rFonts w:hint="eastAsia" w:ascii="ＭＳ ゴシック" w:hAnsi="ＭＳ ゴシック" w:eastAsia="ＭＳ ゴシック"/>
          <w:color w:val="000000"/>
          <w:kern w:val="0"/>
          <w:sz w:val="24"/>
        </w:rPr>
        <w:t>）</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62"/>
        <w:gridCol w:w="2260"/>
        <w:gridCol w:w="2766"/>
        <w:gridCol w:w="2698"/>
      </w:tblGrid>
      <w:tr>
        <w:trPr>
          <w:trHeight w:val="1147" w:hRule="atLeast"/>
        </w:trPr>
        <w:tc>
          <w:tcPr>
            <w:tcW w:w="20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4"/>
              </w:rPr>
            </w:pPr>
          </w:p>
        </w:tc>
        <w:tc>
          <w:tcPr>
            <w:tcW w:w="2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最新の売上原価</w:t>
            </w:r>
          </w:p>
          <w:p>
            <w:pPr>
              <w:pStyle w:val="0"/>
              <w:jc w:val="center"/>
              <w:rPr>
                <w:rFonts w:hint="default" w:ascii="ＭＳ ゴシック" w:hAnsi="ＭＳ ゴシック" w:eastAsia="ＭＳ ゴシック"/>
                <w:sz w:val="24"/>
              </w:rPr>
            </w:pPr>
          </w:p>
        </w:tc>
        <w:tc>
          <w:tcPr>
            <w:tcW w:w="27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最新の売上原価に対応する原油等の仕入価格</w:t>
            </w:r>
          </w:p>
        </w:tc>
        <w:tc>
          <w:tcPr>
            <w:tcW w:w="26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売上原価に占める原油等の仕入価格の割合</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S/C</w:t>
            </w: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r>
        <w:trPr>
          <w:trHeight w:val="363" w:hRule="atLeast"/>
        </w:trPr>
        <w:tc>
          <w:tcPr>
            <w:tcW w:w="20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企業全体</w:t>
            </w:r>
          </w:p>
        </w:tc>
        <w:tc>
          <w:tcPr>
            <w:tcW w:w="2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146" w:rightChars="-69"/>
              <w:jc w:val="right"/>
              <w:rPr>
                <w:rFonts w:hint="default" w:ascii="ＭＳ ゴシック" w:hAnsi="ＭＳ ゴシック" w:eastAsia="ＭＳ ゴシック"/>
                <w:sz w:val="24"/>
              </w:rPr>
            </w:pPr>
            <w:r>
              <w:rPr>
                <w:rFonts w:hint="eastAsia" w:ascii="ＭＳ ゴシック" w:hAnsi="ＭＳ ゴシック" w:eastAsia="ＭＳ ゴシック"/>
                <w:sz w:val="24"/>
              </w:rPr>
              <w:t>円【Ｃ】</w:t>
            </w:r>
          </w:p>
        </w:tc>
        <w:tc>
          <w:tcPr>
            <w:tcW w:w="27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46" w:rightChars="-69"/>
              <w:jc w:val="right"/>
              <w:rPr>
                <w:rFonts w:hint="default" w:ascii="ＭＳ ゴシック" w:hAnsi="ＭＳ ゴシック" w:eastAsia="ＭＳ ゴシック"/>
                <w:sz w:val="24"/>
              </w:rPr>
            </w:pPr>
            <w:r>
              <w:rPr>
                <w:rFonts w:hint="eastAsia" w:ascii="ＭＳ ゴシック" w:hAnsi="ＭＳ ゴシック" w:eastAsia="ＭＳ ゴシック"/>
                <w:sz w:val="24"/>
              </w:rPr>
              <w:t>円【Ｓ】</w:t>
            </w:r>
          </w:p>
        </w:tc>
        <w:tc>
          <w:tcPr>
            <w:tcW w:w="26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（注）最新の売上原価及び原油等の仕入価格は、直近の決算期の値を用いることも可。</w:t>
      </w:r>
    </w:p>
    <w:p>
      <w:pPr>
        <w:pStyle w:val="0"/>
        <w:suppressAutoHyphens w:val="1"/>
        <w:kinsoku w:val="0"/>
        <w:wordWrap w:val="0"/>
        <w:autoSpaceDE w:val="0"/>
        <w:autoSpaceDN w:val="0"/>
        <w:spacing w:before="175" w:beforeLines="50" w:beforeAutospacing="0" w:line="366" w:lineRule="atLeast"/>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sz w:val="24"/>
        </w:rPr>
        <w:t>（表４：</w:t>
      </w:r>
      <w:r>
        <w:rPr>
          <w:rFonts w:hint="eastAsia" w:ascii="ＭＳ ゴシック" w:hAnsi="ＭＳ ゴシック" w:eastAsia="ＭＳ ゴシック"/>
          <w:color w:val="000000"/>
          <w:kern w:val="0"/>
          <w:sz w:val="24"/>
        </w:rPr>
        <w:t>企業全体の製品等価格への転嫁の状況）</w:t>
      </w:r>
    </w:p>
    <w:tbl>
      <w:tblPr>
        <w:tblStyle w:val="11"/>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810"/>
        <w:gridCol w:w="1461"/>
        <w:gridCol w:w="1593"/>
        <w:gridCol w:w="1068"/>
        <w:gridCol w:w="1331"/>
        <w:gridCol w:w="1461"/>
        <w:gridCol w:w="937"/>
        <w:gridCol w:w="919"/>
      </w:tblGrid>
      <w:tr>
        <w:trPr/>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最近３か月間の原油等の仕入価格</w:t>
            </w:r>
          </w:p>
        </w:tc>
        <w:tc>
          <w:tcPr>
            <w:tcW w:w="1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最近３か月間の売上高</w:t>
            </w:r>
          </w:p>
        </w:tc>
        <w:tc>
          <w:tcPr>
            <w:tcW w:w="10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A/B</w:t>
            </w:r>
            <w:r>
              <w:rPr>
                <w:rFonts w:hint="eastAsia" w:ascii="ＭＳ ゴシック" w:hAnsi="ＭＳ ゴシック" w:eastAsia="ＭＳ ゴシック"/>
                <w:sz w:val="24"/>
              </w:rPr>
              <w:t>）</w:t>
            </w: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前年同期の原油等の仕入価格</w:t>
            </w: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前年同期の売上高</w:t>
            </w:r>
          </w:p>
        </w:tc>
        <w:tc>
          <w:tcPr>
            <w:tcW w:w="9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a/b</w:t>
            </w:r>
            <w:r>
              <w:rPr>
                <w:rFonts w:hint="eastAsia" w:ascii="ＭＳ ゴシック" w:hAnsi="ＭＳ ゴシック" w:eastAsia="ＭＳ ゴシック"/>
                <w:sz w:val="24"/>
              </w:rPr>
              <w:t>）</w:t>
            </w:r>
          </w:p>
        </w:tc>
        <w:tc>
          <w:tcPr>
            <w:tcW w:w="9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A/B</w:t>
            </w:r>
            <w:r>
              <w:rPr>
                <w:rFonts w:hint="eastAsia" w:ascii="ＭＳ ゴシック" w:hAnsi="ＭＳ ゴシック" w:eastAsia="ＭＳ ゴシック"/>
                <w:sz w:val="24"/>
              </w:rPr>
              <w:t>）－（</w:t>
            </w:r>
            <w:r>
              <w:rPr>
                <w:rFonts w:hint="eastAsia" w:ascii="ＭＳ ゴシック" w:hAnsi="ＭＳ ゴシック" w:eastAsia="ＭＳ ゴシック"/>
                <w:sz w:val="24"/>
              </w:rPr>
              <w:t>a/b</w:t>
            </w:r>
            <w:r>
              <w:rPr>
                <w:rFonts w:hint="eastAsia" w:ascii="ＭＳ ゴシック" w:hAnsi="ＭＳ ゴシック" w:eastAsia="ＭＳ ゴシック"/>
                <w:sz w:val="24"/>
              </w:rPr>
              <w:t>）＝Ｐ</w:t>
            </w:r>
          </w:p>
        </w:tc>
      </w:tr>
      <w:tr>
        <w:trPr/>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企業</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全体</w:t>
            </w: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A</w:t>
            </w:r>
            <w:r>
              <w:rPr>
                <w:rFonts w:hint="eastAsia" w:ascii="ＭＳ ゴシック" w:hAnsi="ＭＳ ゴシック" w:eastAsia="ＭＳ ゴシック"/>
                <w:sz w:val="24"/>
              </w:rPr>
              <w:t>】</w:t>
            </w:r>
          </w:p>
        </w:tc>
        <w:tc>
          <w:tcPr>
            <w:tcW w:w="1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B</w:t>
            </w:r>
            <w:r>
              <w:rPr>
                <w:rFonts w:hint="eastAsia" w:ascii="ＭＳ ゴシック" w:hAnsi="ＭＳ ゴシック" w:eastAsia="ＭＳ ゴシック"/>
                <w:sz w:val="24"/>
              </w:rPr>
              <w:t>】</w:t>
            </w:r>
          </w:p>
        </w:tc>
        <w:tc>
          <w:tcPr>
            <w:tcW w:w="10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a</w:t>
            </w:r>
            <w:r>
              <w:rPr>
                <w:rFonts w:hint="eastAsia" w:ascii="ＭＳ ゴシック" w:hAnsi="ＭＳ ゴシック" w:eastAsia="ＭＳ ゴシック"/>
                <w:sz w:val="24"/>
              </w:rPr>
              <w:t>】</w:t>
            </w: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b</w:t>
            </w:r>
            <w:r>
              <w:rPr>
                <w:rFonts w:hint="eastAsia" w:ascii="ＭＳ ゴシック" w:hAnsi="ＭＳ ゴシック" w:eastAsia="ＭＳ ゴシック"/>
                <w:sz w:val="24"/>
              </w:rPr>
              <w:t>】</w:t>
            </w:r>
          </w:p>
        </w:tc>
        <w:tc>
          <w:tcPr>
            <w:tcW w:w="9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p>
        </w:tc>
        <w:tc>
          <w:tcPr>
            <w:tcW w:w="9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p>
        </w:tc>
      </w:tr>
    </w:tbl>
    <w:p>
      <w:pPr>
        <w:pStyle w:val="0"/>
        <w:suppressAutoHyphens w:val="1"/>
        <w:kinsoku w:val="0"/>
        <w:wordWrap w:val="0"/>
        <w:autoSpaceDE w:val="0"/>
        <w:autoSpaceDN w:val="0"/>
        <w:spacing w:line="366" w:lineRule="atLeast"/>
        <w:ind w:left="707" w:hanging="707" w:hangingChars="292"/>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ind w:left="707" w:hanging="707" w:hangingChars="292"/>
        <w:jc w:val="left"/>
        <w:rPr>
          <w:rFonts w:hint="default" w:ascii="ＭＳ ゴシック" w:hAnsi="ＭＳ ゴシック" w:eastAsia="ＭＳ ゴシック"/>
          <w:sz w:val="24"/>
        </w:rPr>
      </w:pPr>
      <w:r>
        <w:rPr>
          <w:rFonts w:hint="eastAsia" w:ascii="ＭＳ ゴシック" w:hAnsi="ＭＳ ゴシック" w:eastAsia="ＭＳ ゴシック"/>
          <w:sz w:val="24"/>
        </w:rPr>
        <w:t>（注）申請にあたっては、営んでいる事業が全て指定業種に属することが疎明できる書類等（例えば、取り扱っている製品・サービス等を疎明できる書類、許認可証な</w:t>
      </w:r>
    </w:p>
    <w:p>
      <w:pPr>
        <w:pStyle w:val="0"/>
        <w:suppressAutoHyphens w:val="1"/>
        <w:kinsoku w:val="0"/>
        <w:wordWrap w:val="0"/>
        <w:autoSpaceDE w:val="0"/>
        <w:autoSpaceDN w:val="0"/>
        <w:spacing w:line="366" w:lineRule="atLeast"/>
        <w:ind w:left="706" w:leftChars="333"/>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sz w:val="24"/>
        </w:rPr>
        <w:t>ど）や、企業全体の原油等の仕入価格、売上原価及び売上高が分かる書類等（例えば、試算表、売上台帳、仕入帳など）の提出が必要。</w:t>
      </w:r>
    </w:p>
    <w:p>
      <w:pPr>
        <w:pStyle w:val="0"/>
        <w:spacing w:line="220" w:lineRule="exact"/>
        <w:ind w:leftChars="0" w:rightChars="0" w:firstLineChars="0"/>
        <w:jc w:val="both"/>
        <w:rPr>
          <w:rFonts w:hint="default" w:ascii="ＭＳ ゴシック" w:hAnsi="ＭＳ ゴシック" w:eastAsia="ＭＳ ゴシック"/>
        </w:rPr>
      </w:pPr>
    </w:p>
    <w:p>
      <w:pPr>
        <w:pStyle w:val="0"/>
        <w:spacing w:line="220" w:lineRule="exact"/>
        <w:ind w:leftChars="0" w:rightChars="0" w:firstLineChars="0"/>
        <w:jc w:val="both"/>
        <w:rPr>
          <w:rFonts w:hint="default" w:ascii="ＭＳ ゴシック" w:hAnsi="ＭＳ ゴシック" w:eastAsia="ＭＳ ゴシック"/>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sz w:val="24"/>
    </w:rPr>
  </w:style>
  <w:style w:type="character" w:styleId="16" w:customStyle="1">
    <w:name w:val="見出し 2 (文字)"/>
    <w:basedOn w:val="10"/>
    <w:next w:val="16"/>
    <w:link w:val="2"/>
    <w:uiPriority w:val="0"/>
    <w:rPr>
      <w:rFonts w:ascii="Arial" w:hAnsi="Arial" w:eastAsia="ＭＳ ゴシック"/>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kern w:val="2"/>
      <w:sz w:val="21"/>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Pages>
  <Words>22</Words>
  <Characters>1590</Characters>
  <Application>JUST Note</Application>
  <Lines>170</Lines>
  <Paragraphs>99</Paragraphs>
  <Company>経済産業省</Company>
  <CharactersWithSpaces>1955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mi-tsubouchi</cp:lastModifiedBy>
  <cp:lastPrinted>2012-10-10T19:45:00Z</cp:lastPrinted>
  <dcterms:created xsi:type="dcterms:W3CDTF">2013-09-25T04:25:00Z</dcterms:created>
  <dcterms:modified xsi:type="dcterms:W3CDTF">2022-04-18T03:37:58Z</dcterms:modified>
  <cp:revision>2</cp:revision>
</cp:coreProperties>
</file>